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kern w:val="28"/>
        </w:rPr>
        <w:id w:val="-240795504"/>
        <w:docPartObj>
          <w:docPartGallery w:val="Cover Pages"/>
          <w:docPartUnique/>
        </w:docPartObj>
      </w:sdtPr>
      <w:sdtEndPr>
        <w:rPr>
          <w:kern w:val="0"/>
          <w:sz w:val="56"/>
        </w:rPr>
      </w:sdtEndPr>
      <w:sdtContent>
        <w:p w:rsidR="00350A48" w:rsidRDefault="003052B6">
          <w:pPr>
            <w:rPr>
              <w:kern w:val="28"/>
            </w:rPr>
          </w:pPr>
          <w:r>
            <w:rPr>
              <w:noProof/>
              <w:sz w:val="56"/>
              <w:lang w:val="en-CA" w:eastAsia="en-CA"/>
            </w:rPr>
            <w:drawing>
              <wp:anchor distT="0" distB="0" distL="114300" distR="114300" simplePos="0" relativeHeight="251683840" behindDoc="1" locked="0" layoutInCell="1" allowOverlap="1">
                <wp:simplePos x="0" y="0"/>
                <wp:positionH relativeFrom="margin">
                  <wp:posOffset>-293370</wp:posOffset>
                </wp:positionH>
                <wp:positionV relativeFrom="paragraph">
                  <wp:posOffset>-160020</wp:posOffset>
                </wp:positionV>
                <wp:extent cx="4817538" cy="4461881"/>
                <wp:effectExtent l="0" t="0" r="254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y enga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17538" cy="4461881"/>
                        </a:xfrm>
                        <a:prstGeom prst="rect">
                          <a:avLst/>
                        </a:prstGeom>
                      </pic:spPr>
                    </pic:pic>
                  </a:graphicData>
                </a:graphic>
                <wp14:sizeRelH relativeFrom="margin">
                  <wp14:pctWidth>0</wp14:pctWidth>
                </wp14:sizeRelH>
                <wp14:sizeRelV relativeFrom="margin">
                  <wp14:pctHeight>0</wp14:pctHeight>
                </wp14:sizeRelV>
              </wp:anchor>
            </w:drawing>
          </w:r>
        </w:p>
        <w:p w:rsidR="00350A48" w:rsidRDefault="00F9647F">
          <w:pPr>
            <w:spacing w:line="276" w:lineRule="auto"/>
            <w:rPr>
              <w:rFonts w:asciiTheme="majorHAnsi" w:eastAsiaTheme="majorEastAsia" w:hAnsiTheme="majorHAnsi" w:cstheme="majorBidi"/>
              <w:caps/>
              <w:color w:val="000000" w:themeColor="text1"/>
              <w:spacing w:val="-20"/>
              <w:kern w:val="28"/>
              <w:sz w:val="56"/>
              <w:szCs w:val="52"/>
            </w:rPr>
          </w:pPr>
          <w:r>
            <w:rPr>
              <w:noProof/>
              <w:lang w:val="en-CA" w:eastAsia="en-CA"/>
            </w:rPr>
            <mc:AlternateContent>
              <mc:Choice Requires="wps">
                <w:drawing>
                  <wp:anchor distT="0" distB="0" distL="114300" distR="114300" simplePos="0" relativeHeight="251669504" behindDoc="0" locked="0" layoutInCell="1" allowOverlap="1" wp14:editId="680B2E44">
                    <wp:simplePos x="0" y="0"/>
                    <wp:positionH relativeFrom="margin">
                      <wp:posOffset>4688205</wp:posOffset>
                    </wp:positionH>
                    <wp:positionV relativeFrom="margin">
                      <wp:posOffset>744855</wp:posOffset>
                    </wp:positionV>
                    <wp:extent cx="3886200" cy="3362325"/>
                    <wp:effectExtent l="0" t="0" r="0" b="9525"/>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36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ABC" w:rsidRPr="00F9647F" w:rsidRDefault="00A729E0">
                                <w:pPr>
                                  <w:pStyle w:val="Title"/>
                                  <w:rPr>
                                    <w:sz w:val="56"/>
                                    <w:szCs w:val="56"/>
                                  </w:rPr>
                                </w:pPr>
                                <w:sdt>
                                  <w:sdtPr>
                                    <w:rPr>
                                      <w:sz w:val="56"/>
                                      <w:szCs w:val="56"/>
                                    </w:rPr>
                                    <w:alias w:val="Title"/>
                                    <w:id w:val="324249323"/>
                                    <w:dataBinding w:prefixMappings="xmlns:ns0='http://schemas.openxmlformats.org/package/2006/metadata/core-properties' xmlns:ns1='http://purl.org/dc/elements/1.1/'" w:xpath="/ns0:coreProperties[1]/ns1:title[1]" w:storeItemID="{6C3C8BC8-F283-45AE-878A-BAB7291924A1}"/>
                                    <w:text/>
                                  </w:sdtPr>
                                  <w:sdtEndPr/>
                                  <w:sdtContent>
                                    <w:r w:rsidR="00025D32">
                                      <w:rPr>
                                        <w:sz w:val="56"/>
                                        <w:szCs w:val="56"/>
                                      </w:rPr>
                                      <w:t>SOCIAL INNOVATION FOR ENERGY EFFICIENCY &amp;  LOW CARBON TRANSITIONS</w:t>
                                    </w:r>
                                  </w:sdtContent>
                                </w:sdt>
                              </w:p>
                            </w:txbxContent>
                          </wps:txbx>
                          <wps:bodyPr rot="0" vert="horz" wrap="square" lIns="91440" tIns="45720" rIns="91440" bIns="45720" anchor="b"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369.15pt;margin-top:58.65pt;width:306pt;height:264.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pestgIAALsFAAAOAAAAZHJzL2Uyb0RvYy54bWysVO1umzAU/T9p72D5P+UjhAAqqdoQpknd&#10;h9TuARwwwRrYzHYC3bR337VJ0qTVpGkbP5Dte33uxzm+1zdj16I9lYoJnmH/ysOI8lJUjG8z/OWx&#10;cGKMlCa8Iq3gNMNPVOGb5ds310Of0kA0oq2oRADCVTr0GW607lPXVWVDO6KuRE85GGshO6JhK7du&#10;JckA6F3rBp4XuYOQVS9FSZWC03wy4qXFr2ta6k91rahGbYYhN23/0v435u8ur0m6laRvWHlIg/xF&#10;Fh1hHIKeoHKiCdpJ9gqqY6UUStT6qhSdK+qaldTWANX43otqHhrSU1sLNEf1pzap/wdbftx/lohV&#10;GZ5hxEkHFD3SUaM7MaIgMu0ZepWC10MPfnqEc6DZlqr6e1F+VYiLVUP4lt5KKYaGkgrS881N9+zq&#10;hKMMyGb4ICqIQ3ZaWKCxlp3pHXQDATrQ9HSixuRSwuEsjiPgG6MSbLNZFMyCuY1B0uP1Xir9jooO&#10;mUWGJXBv4cn+XmmTDkmPLiYaFwVrW8t/yy8OwHE6geBw1dhMGpbOH4mXrON1HDphEK2d0Mtz57ZY&#10;hU5U+It5PstXq9z/aeL6YdqwqqLchDlKyw//jLqDyCdRnMSlRMsqA2dSUnK7WbUS7QlIu7DfoSFn&#10;bu5lGrYJUMuLkvwg9O6CxCmieOGERTh3koUXO56f3CWRFyZhXlyWdM84/feS0JDhZA482nJ+W5tn&#10;v9e1kbRjGoZHy7oMxycnkhoNrnllqdWEtdP6rBUm/edWAN1Hoq1ijUgnuepxMwKKkfFGVE+gXSlA&#10;WaBCmHiwaIT8jtEA0yPD6tuOSIpR+56D/hM/DM24sZtwvghgI88tm3ML4SVAZXiD0bRc6WlE7XrJ&#10;tg1Eml4cF7fwZmpm1fyc1eGlwYSwRR2mmRlB53vr9Txzl78AAAD//wMAUEsDBBQABgAIAAAAIQDa&#10;CpbE3wAAAAwBAAAPAAAAZHJzL2Rvd25yZXYueG1sTI9BT4QwEIXvJv6HZky8uQVBliBlY1b3uFFX&#10;f0BLR0BpS2hZ4N87e9Lbm7wvb94rd4vp2RlH3zkrIN5EwNDWTne2EfD5cbjLgfkgrZa9syhgRQ+7&#10;6vqqlIV2s33H8yk0jEKsL6SANoSh4NzXLRrpN25AS96XG40MdI4N16OcKdz0/D6KMm5kZ+lDKwfc&#10;t1j/nCYj4OVNrSqNvw/pc7Qq/Tof9/V0FOL2Znl6BBZwCX8wXOpTdaiok3KT1Z71ArZJnhBKRrwl&#10;cSGSh4iUEpClWQ68Kvn/EdUvAAAA//8DAFBLAQItABQABgAIAAAAIQC2gziS/gAAAOEBAAATAAAA&#10;AAAAAAAAAAAAAAAAAABbQ29udGVudF9UeXBlc10ueG1sUEsBAi0AFAAGAAgAAAAhADj9If/WAAAA&#10;lAEAAAsAAAAAAAAAAAAAAAAALwEAAF9yZWxzLy5yZWxzUEsBAi0AFAAGAAgAAAAhANrGl6y2AgAA&#10;uwUAAA4AAAAAAAAAAAAAAAAALgIAAGRycy9lMm9Eb2MueG1sUEsBAi0AFAAGAAgAAAAhANoKlsTf&#10;AAAADAEAAA8AAAAAAAAAAAAAAAAAEAUAAGRycy9kb3ducmV2LnhtbFBLBQYAAAAABAAEAPMAAAAc&#10;BgAAAAA=&#10;" filled="f" stroked="f">
                    <v:textbox>
                      <w:txbxContent>
                        <w:p w:rsidR="00AE1ABC" w:rsidRPr="00F9647F" w:rsidRDefault="00A729E0">
                          <w:pPr>
                            <w:pStyle w:val="Title"/>
                            <w:rPr>
                              <w:sz w:val="56"/>
                              <w:szCs w:val="56"/>
                            </w:rPr>
                          </w:pPr>
                          <w:sdt>
                            <w:sdtPr>
                              <w:rPr>
                                <w:sz w:val="56"/>
                                <w:szCs w:val="56"/>
                              </w:rPr>
                              <w:alias w:val="Title"/>
                              <w:id w:val="324249323"/>
                              <w:dataBinding w:prefixMappings="xmlns:ns0='http://schemas.openxmlformats.org/package/2006/metadata/core-properties' xmlns:ns1='http://purl.org/dc/elements/1.1/'" w:xpath="/ns0:coreProperties[1]/ns1:title[1]" w:storeItemID="{6C3C8BC8-F283-45AE-878A-BAB7291924A1}"/>
                              <w:text/>
                            </w:sdtPr>
                            <w:sdtEndPr/>
                            <w:sdtContent>
                              <w:r w:rsidR="00025D32">
                                <w:rPr>
                                  <w:sz w:val="56"/>
                                  <w:szCs w:val="56"/>
                                </w:rPr>
                                <w:t>SOCIAL INNOVATION FOR ENERGY EFFICIENCY &amp;  LOW CARBON TRANSITIONS</w:t>
                              </w:r>
                            </w:sdtContent>
                          </w:sdt>
                        </w:p>
                      </w:txbxContent>
                    </v:textbox>
                    <w10:wrap anchorx="margin" anchory="margin"/>
                  </v:shape>
                </w:pict>
              </mc:Fallback>
            </mc:AlternateContent>
          </w:r>
          <w:r w:rsidR="005B647C">
            <w:rPr>
              <w:noProof/>
              <w:lang w:val="en-CA" w:eastAsia="en-CA"/>
            </w:rPr>
            <mc:AlternateContent>
              <mc:Choice Requires="wps">
                <w:drawing>
                  <wp:anchor distT="0" distB="0" distL="114300" distR="114300" simplePos="0" relativeHeight="251668480" behindDoc="0" locked="0" layoutInCell="1" allowOverlap="1" wp14:editId="45663D49">
                    <wp:simplePos x="0" y="0"/>
                    <wp:positionH relativeFrom="margin">
                      <wp:posOffset>-38100</wp:posOffset>
                    </wp:positionH>
                    <wp:positionV relativeFrom="margin">
                      <wp:posOffset>4871085</wp:posOffset>
                    </wp:positionV>
                    <wp:extent cx="6016625" cy="1085850"/>
                    <wp:effectExtent l="0" t="0" r="0" b="0"/>
                    <wp:wrapNone/>
                    <wp:docPr id="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1085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ABC" w:rsidRPr="005B647C" w:rsidRDefault="00AE1ABC">
                                <w:pPr>
                                  <w:rPr>
                                    <w:sz w:val="24"/>
                                    <w:szCs w:val="24"/>
                                  </w:rPr>
                                </w:pPr>
                                <w:r w:rsidRPr="005B647C">
                                  <w:rPr>
                                    <w:sz w:val="24"/>
                                    <w:szCs w:val="24"/>
                                  </w:rPr>
                                  <w:t xml:space="preserve">This evaluation approach provides an overarching framework to guide, monitor and report on OEE’s Social Innovation projects </w:t>
                                </w:r>
                                <w:r>
                                  <w:rPr>
                                    <w:sz w:val="24"/>
                                    <w:szCs w:val="24"/>
                                  </w:rPr>
                                  <w:t>and impacts</w:t>
                                </w:r>
                                <w:r w:rsidRPr="005B647C">
                                  <w:rPr>
                                    <w:sz w:val="24"/>
                                    <w:szCs w:val="24"/>
                                  </w:rPr>
                                  <w:t>. It acknowledges and reflects the complexity of OEE’s operating context and mandate to advance energy efficiency in Canada. It therefore recommends an adaptive learning approach to inform the work of the team, the organization</w:t>
                                </w:r>
                                <w:r>
                                  <w:rPr>
                                    <w:sz w:val="24"/>
                                    <w:szCs w:val="24"/>
                                  </w:rPr>
                                  <w:t>,</w:t>
                                </w:r>
                                <w:r w:rsidRPr="005B647C">
                                  <w:rPr>
                                    <w:sz w:val="24"/>
                                    <w:szCs w:val="24"/>
                                  </w:rPr>
                                  <w:t xml:space="preserve"> and its partners.</w:t>
                                </w:r>
                              </w:p>
                            </w:txbxContent>
                          </wps:txbx>
                          <wps:bodyPr rot="0" vert="horz" wrap="square" lIns="91440" tIns="45720" rIns="91440" bIns="45720" anchor="t" anchorCtr="0" upright="1">
                            <a:noAutofit/>
                          </wps:bodyPr>
                        </wps:wsp>
                      </a:graphicData>
                    </a:graphic>
                    <wp14:sizeRelH relativeFrom="margin">
                      <wp14:pctWidth>94000</wp14:pctWidth>
                    </wp14:sizeRelH>
                    <wp14:sizeRelV relativeFrom="page">
                      <wp14:pctHeight>0</wp14:pctHeight>
                    </wp14:sizeRelV>
                  </wp:anchor>
                </w:drawing>
              </mc:Choice>
              <mc:Fallback>
                <w:pict>
                  <v:shape id="Text Box 24" o:spid="_x0000_s1027" type="#_x0000_t202" style="position:absolute;margin-left:-3pt;margin-top:383.55pt;width:473.75pt;height:85.5pt;z-index:251668480;visibility:visible;mso-wrap-style:square;mso-width-percent:940;mso-height-percent:0;mso-wrap-distance-left:9pt;mso-wrap-distance-top:0;mso-wrap-distance-right:9pt;mso-wrap-distance-bottom:0;mso-position-horizontal:absolute;mso-position-horizontal-relative:margin;mso-position-vertical:absolute;mso-position-vertical-relative:margin;mso-width-percent:94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9C4uwIAAMMFAAAOAAAAZHJzL2Uyb0RvYy54bWysVNtunDAQfa/Uf7D8TrjUywIKGyXLUlVK&#10;L1LSD/CCWayCTW3vsmnVf+/Y7C3JS9WWB+TL+MycmTNzfbPvO7RjSnMpchxeBRgxUcmai02Ovz6W&#10;XoKRNlTUtJOC5fiJaXyzePvmehwyFslWdjVTCECEzsYhx60xQ+b7umpZT/WVHJiAy0aqnhrYqo1f&#10;KzoCet/5URDE/ihVPShZMa3htJgu8cLhNw2rzOem0cygLscQm3F/5f5r+/cX1zTbKDq0vDqEQf8i&#10;ip5yAU5PUAU1FG0VfwXV80pJLRtzVcnel03DK+Y4AJsweMHmoaUDc1wgOXo4pUn/P9jq0+6LQryG&#10;2sUYCdpDjR7Z3qA7uUcRsfkZB52B2cMAhmYP52DruOrhXlbfNBJy2VKxYbdKybFltIb4QvvSv3g6&#10;4WgLsh4/yhr80K2RDmjfqN4mD9KBAB3q9HSqjY2lgsM4COM4mmFUwV0YJLNk5qrn0+z4fFDavGey&#10;R3aRYwXFd/B0d6+NDYdmRxPrTciSd50TQCeeHYDhdALO4am9s2G4ev5Mg3SVrBLikSheeSQoCu+2&#10;XBIvLsP5rHhXLJdF+Mv6DUnW8rpmwro5aiskf1a7g8onVZzUpWXHawtnQ9Jqs152Cu0oaLt0n0s6&#10;3JzN/OdhuCQAlxeUwogEd1HqlXEy90hJZl46DxIvCNO7NA5ISoryOaV7Lti/U0JjjtMZFNXROQf9&#10;glvgvtfcaNZzA9Oj432Ok5MRzawGV6J2pTWUd9P6IhU2/HMqoNzHQjvFWpFOcjX79X5qjmMjrGX9&#10;BBJWEgQGOoXJB4tWqh8YjTBFcqy/b6liGHUfBLRBGhJix47bkNk8go26vFlf3lBRAVSODUbTcmmm&#10;UbUdFN+04GlqPCFvoXUa7kRte2yK6tBwMCkct8NUs6Pocu+szrN38RsAAP//AwBQSwMEFAAGAAgA&#10;AAAhAMmSikzeAAAACgEAAA8AAABkcnMvZG93bnJldi54bWxMj8FOwzAQRO9I/IO1SNxaJwWSNo1T&#10;ARInThQuvW1jN7Gw11Hspunfs5zgNqsZzb6pd7N3YjJjtIEU5MsMhKE2aEudgq/Pt8UaRExIGl0g&#10;o+BqIuya25saKx0u9GGmfeoEl1CsUEGf0lBJGdveeIzLMBhi7xRGj4nPsZN6xAuXeydXWVZIj5b4&#10;Q4+Dee1N+70/ewXdwb5vBosvdJjmdnJlcU0rVOr+bn7egkhmTn9h+MVndGiY6RjOpKNwChYFT0kK&#10;yqLMQXBg85g/gTiyeFjnIJta/p/Q/AAAAP//AwBQSwECLQAUAAYACAAAACEAtoM4kv4AAADhAQAA&#10;EwAAAAAAAAAAAAAAAAAAAAAAW0NvbnRlbnRfVHlwZXNdLnhtbFBLAQItABQABgAIAAAAIQA4/SH/&#10;1gAAAJQBAAALAAAAAAAAAAAAAAAAAC8BAABfcmVscy8ucmVsc1BLAQItABQABgAIAAAAIQBC49C4&#10;uwIAAMMFAAAOAAAAAAAAAAAAAAAAAC4CAABkcnMvZTJvRG9jLnhtbFBLAQItABQABgAIAAAAIQDJ&#10;kopM3gAAAAoBAAAPAAAAAAAAAAAAAAAAABUFAABkcnMvZG93bnJldi54bWxQSwUGAAAAAAQABADz&#10;AAAAIAYAAAAA&#10;" filled="f" stroked="f">
                    <v:textbox>
                      <w:txbxContent>
                        <w:p w:rsidR="00AE1ABC" w:rsidRPr="005B647C" w:rsidRDefault="00AE1ABC">
                          <w:pPr>
                            <w:rPr>
                              <w:sz w:val="24"/>
                              <w:szCs w:val="24"/>
                            </w:rPr>
                          </w:pPr>
                          <w:r w:rsidRPr="005B647C">
                            <w:rPr>
                              <w:sz w:val="24"/>
                              <w:szCs w:val="24"/>
                            </w:rPr>
                            <w:t xml:space="preserve">This evaluation approach provides an overarching framework to guide, monitor and report on OEE’s Social Innovation projects </w:t>
                          </w:r>
                          <w:r>
                            <w:rPr>
                              <w:sz w:val="24"/>
                              <w:szCs w:val="24"/>
                            </w:rPr>
                            <w:t>and impacts</w:t>
                          </w:r>
                          <w:r w:rsidRPr="005B647C">
                            <w:rPr>
                              <w:sz w:val="24"/>
                              <w:szCs w:val="24"/>
                            </w:rPr>
                            <w:t>. It acknowledges and reflects the complexity of OEE’s operating context and mandate to advance energy efficiency in Canada. It therefore recommends an adaptive learning approach to inform the work of the team, the organization</w:t>
                          </w:r>
                          <w:r>
                            <w:rPr>
                              <w:sz w:val="24"/>
                              <w:szCs w:val="24"/>
                            </w:rPr>
                            <w:t>,</w:t>
                          </w:r>
                          <w:r w:rsidRPr="005B647C">
                            <w:rPr>
                              <w:sz w:val="24"/>
                              <w:szCs w:val="24"/>
                            </w:rPr>
                            <w:t xml:space="preserve"> and its partners.</w:t>
                          </w:r>
                        </w:p>
                      </w:txbxContent>
                    </v:textbox>
                    <w10:wrap anchorx="margin" anchory="margin"/>
                  </v:shape>
                </w:pict>
              </mc:Fallback>
            </mc:AlternateContent>
          </w:r>
          <w:r w:rsidR="002F0DC5">
            <w:rPr>
              <w:noProof/>
              <w:lang w:val="en-CA" w:eastAsia="en-CA"/>
            </w:rPr>
            <mc:AlternateContent>
              <mc:Choice Requires="wps">
                <w:drawing>
                  <wp:anchor distT="0" distB="0" distL="114300" distR="114300" simplePos="0" relativeHeight="251674624" behindDoc="0" locked="0" layoutInCell="1" allowOverlap="1" wp14:editId="2387022E">
                    <wp:simplePos x="0" y="0"/>
                    <wp:positionH relativeFrom="margin">
                      <wp:align>left</wp:align>
                    </wp:positionH>
                    <wp:positionV relativeFrom="margin">
                      <wp:posOffset>7188200</wp:posOffset>
                    </wp:positionV>
                    <wp:extent cx="6272530" cy="46355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53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ABC" w:rsidRPr="00C14993" w:rsidRDefault="00A729E0">
                                <w:pPr>
                                  <w:pStyle w:val="Subtitle"/>
                                  <w:rPr>
                                    <w:sz w:val="32"/>
                                    <w:szCs w:val="32"/>
                                  </w:rPr>
                                </w:pPr>
                                <w:sdt>
                                  <w:sdtPr>
                                    <w:rPr>
                                      <w:sz w:val="32"/>
                                      <w:szCs w:val="32"/>
                                    </w:rPr>
                                    <w:alias w:val="Subtitle"/>
                                    <w:id w:val="1122268177"/>
                                    <w:dataBinding w:prefixMappings="xmlns:ns0='http://schemas.openxmlformats.org/package/2006/metadata/core-properties' xmlns:ns1='http://purl.org/dc/elements/1.1/'" w:xpath="/ns0:coreProperties[1]/ns1:subject[1]" w:storeItemID="{6C3C8BC8-F283-45AE-878A-BAB7291924A1}"/>
                                    <w:text/>
                                  </w:sdtPr>
                                  <w:sdtEndPr/>
                                  <w:sdtContent>
                                    <w:r w:rsidR="00AE1ABC" w:rsidRPr="00C14993">
                                      <w:rPr>
                                        <w:sz w:val="32"/>
                                        <w:szCs w:val="32"/>
                                      </w:rPr>
                                      <w:t>EVALUATION APPROACH</w:t>
                                    </w:r>
                                  </w:sdtContent>
                                </w:sdt>
                              </w:p>
                            </w:txbxContent>
                          </wps:txbx>
                          <wps:bodyPr rot="0" vert="horz" wrap="square" lIns="91440" tIns="45720" rIns="91440" bIns="45720" anchor="t" anchorCtr="0" upright="1">
                            <a:noAutofit/>
                          </wps:bodyPr>
                        </wps:wsp>
                      </a:graphicData>
                    </a:graphic>
                    <wp14:sizeRelH relativeFrom="margin">
                      <wp14:pctWidth>98000</wp14:pctWidth>
                    </wp14:sizeRelH>
                    <wp14:sizeRelV relativeFrom="page">
                      <wp14:pctHeight>0</wp14:pctHeight>
                    </wp14:sizeRelV>
                  </wp:anchor>
                </w:drawing>
              </mc:Choice>
              <mc:Fallback>
                <w:pict>
                  <v:shape id="Text Box 11" o:spid="_x0000_s1028" type="#_x0000_t202" style="position:absolute;margin-left:0;margin-top:566pt;width:493.9pt;height:36.5pt;z-index:251674624;visibility:visible;mso-wrap-style:square;mso-width-percent:980;mso-height-percent:0;mso-wrap-distance-left:9pt;mso-wrap-distance-top:0;mso-wrap-distance-right:9pt;mso-wrap-distance-bottom:0;mso-position-horizontal:left;mso-position-horizontal-relative:margin;mso-position-vertical:absolute;mso-position-vertical-relative:margin;mso-width-percent:98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G0yugIAAMEFAAAOAAAAZHJzL2Uyb0RvYy54bWysVG1vmzAQ/j5p/8Hyd8pLDQmopGpDmCZ1&#10;L1K7H+CACdbAZrYT0k377zubJk1aTZq28QHZvvNz99w9vqvrfd+hHVOaS5Hj8CLAiIlK1lxscvzl&#10;ofTmGGlDRU07KViOH5nG14u3b67GIWORbGVXM4UAROhsHHLcGjNkvq+rlvVUX8iBCTA2UvXUwFZt&#10;/FrREdD7zo+CIPFHqepByYppDafFZMQLh980rDKfmkYzg7ocQ27G/ZX7r+3fX1zRbKPo0PLqKQ36&#10;F1n0lAsIeoQqqKFoq/grqJ5XSmrZmItK9r5sGl4xxwHYhMELNvctHZjjAsXRw7FM+v/BVh93nxXi&#10;NfQOI0F7aNED2xt0K/coDG15xkFn4HU/gJ/Zw7l1tVT1cCerrxoJuWyp2LAbpeTYMlpDeu6mf3J1&#10;wtEWZD1+kDXEoVsjHdC+Ub0FhGogQIc2PR5bY3Op4DCJZlF8CaYKbCS5jGPXO59mh9uD0uYdkz2y&#10;ixwraL1Dp7s7bYAHuB5cbDAhS951rv2dODsAx+kEYsNVa7NZuG7+SIN0NV/NiUeiZOWRoCi8m3JJ&#10;vKQMZ3FxWSyXRfjTxg1J1vK6ZsKGOSgrJH/WuSeNT5o4akvLjtcWzqak1Wa97BTaUVB26T7bLUj+&#10;xM0/T8OZgcsLSmFEgtso9cpkPvNISWIvnQVzLwjT2zQJSEqK8pzSHRfs3ymhMcdpHMWTmH7LLXDf&#10;a24067mB2dHxPsfzoxPNrARXonatNZR30/qkFDb951JAxQ6NdoK1Gp3UavbrvXsa0eEdrGX9CApW&#10;EgQGWoS5B4tWqu8YjTBDcqy/baliGHXvBbyCNCTEDh23IfEsgo06taxPLVRUAJVjg9G0XJppUG0H&#10;xTctRJrenZA38HIa7kRtn9iUFTCyG5gTjtvTTLOD6HTvvJ4n7+IXAAAA//8DAFBLAwQUAAYACAAA&#10;ACEAK6r+rd8AAAAKAQAADwAAAGRycy9kb3ducmV2LnhtbEyPMU/DMBCFd6T+B+uQWBC1G0RbQpyq&#10;QmXpQEXDwHiNjzhqbEex24Z/z3WC7e6907vvFavRdeJMQ2yD1zCbKhDk62Ba32j4rN4eliBiQm+w&#10;C540/FCEVTm5KTA34eI/6LxPjeAQH3PUYFPqcyljbclhnIaePHvfYXCYeB0aaQa8cLjrZKbUXDps&#10;PX+w2NOrpfq4PzkNC1Pd2+q92myOaOdyxKC2uy+t727H9QuIRGP6O4YrPqNDyUyHcPImik4DF0ms&#10;zh4znth/Xi64yoGlTD0pkGUh/1cofwEAAP//AwBQSwECLQAUAAYACAAAACEAtoM4kv4AAADhAQAA&#10;EwAAAAAAAAAAAAAAAAAAAAAAW0NvbnRlbnRfVHlwZXNdLnhtbFBLAQItABQABgAIAAAAIQA4/SH/&#10;1gAAAJQBAAALAAAAAAAAAAAAAAAAAC8BAABfcmVscy8ucmVsc1BLAQItABQABgAIAAAAIQBbPG0y&#10;ugIAAMEFAAAOAAAAAAAAAAAAAAAAAC4CAABkcnMvZTJvRG9jLnhtbFBLAQItABQABgAIAAAAIQAr&#10;qv6t3wAAAAoBAAAPAAAAAAAAAAAAAAAAABQFAABkcnMvZG93bnJldi54bWxQSwUGAAAAAAQABADz&#10;AAAAIAYAAAAA&#10;" filled="f" stroked="f">
                    <v:textbox>
                      <w:txbxContent>
                        <w:p w:rsidR="00AE1ABC" w:rsidRPr="00C14993" w:rsidRDefault="00AE1ABC">
                          <w:pPr>
                            <w:pStyle w:val="Subtitle"/>
                            <w:rPr>
                              <w:sz w:val="32"/>
                              <w:szCs w:val="32"/>
                            </w:rPr>
                          </w:pPr>
                          <w:sdt>
                            <w:sdtPr>
                              <w:rPr>
                                <w:sz w:val="32"/>
                                <w:szCs w:val="32"/>
                              </w:rPr>
                              <w:alias w:val="Subtitle"/>
                              <w:id w:val="1122268177"/>
                              <w:dataBinding w:prefixMappings="xmlns:ns0='http://schemas.openxmlformats.org/package/2006/metadata/core-properties' xmlns:ns1='http://purl.org/dc/elements/1.1/'" w:xpath="/ns0:coreProperties[1]/ns1:subject[1]" w:storeItemID="{6C3C8BC8-F283-45AE-878A-BAB7291924A1}"/>
                              <w:text/>
                            </w:sdtPr>
                            <w:sdtContent>
                              <w:r w:rsidRPr="00C14993">
                                <w:rPr>
                                  <w:sz w:val="32"/>
                                  <w:szCs w:val="32"/>
                                </w:rPr>
                                <w:t>EVALUATION APPROACH</w:t>
                              </w:r>
                            </w:sdtContent>
                          </w:sdt>
                        </w:p>
                      </w:txbxContent>
                    </v:textbox>
                    <w10:wrap anchorx="margin" anchory="margin"/>
                  </v:shape>
                </w:pict>
              </mc:Fallback>
            </mc:AlternateContent>
          </w:r>
          <w:r w:rsidR="00BD7C5F">
            <w:rPr>
              <w:noProof/>
              <w:lang w:val="en-CA" w:eastAsia="en-CA"/>
            </w:rPr>
            <mc:AlternateContent>
              <mc:Choice Requires="wps">
                <w:drawing>
                  <wp:anchor distT="0" distB="0" distL="114300" distR="114300" simplePos="0" relativeHeight="251672576" behindDoc="0" locked="0" layoutInCell="1" allowOverlap="1" wp14:editId="0FFADAC5">
                    <wp:simplePos x="0" y="0"/>
                    <mc:AlternateContent>
                      <mc:Choice Requires="wp14">
                        <wp:positionH relativeFrom="margin">
                          <wp14:pctPosHOffset>101500</wp14:pctPosHOffset>
                        </wp:positionH>
                      </mc:Choice>
                      <mc:Fallback>
                        <wp:positionH relativeFrom="page">
                          <wp:posOffset>9504680</wp:posOffset>
                        </wp:positionH>
                      </mc:Fallback>
                    </mc:AlternateContent>
                    <mc:AlternateContent>
                      <mc:Choice Requires="wp14">
                        <wp:positionV relativeFrom="margin">
                          <wp14:pctPosVOffset>70000</wp14:pctPosVOffset>
                        </wp:positionV>
                      </mc:Choice>
                      <mc:Fallback>
                        <wp:positionV relativeFrom="page">
                          <wp:posOffset>5166995</wp:posOffset>
                        </wp:positionV>
                      </mc:Fallback>
                    </mc:AlternateContent>
                    <wp:extent cx="128270" cy="2823210"/>
                    <wp:effectExtent l="0" t="0" r="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282321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32500</wp14:pctHeight>
                    </wp14:sizeRelV>
                  </wp:anchor>
                </w:drawing>
              </mc:Choice>
              <mc:Fallback>
                <w:pict>
                  <v:rect w14:anchorId="5C491422" id="Rectangle 9" o:spid="_x0000_s1026" style="position:absolute;margin-left:0;margin-top:0;width:10.1pt;height:222.3pt;z-index:251672576;visibility:visible;mso-wrap-style:square;mso-width-percent:20;mso-height-percent:325;mso-left-percent:1015;mso-top-percent:700;mso-wrap-distance-left:9pt;mso-wrap-distance-top:0;mso-wrap-distance-right:9pt;mso-wrap-distance-bottom:0;mso-position-horizontal-relative:margin;mso-position-vertical-relative:margin;mso-width-percent:20;mso-height-percent:325;mso-left-percent:1015;mso-top-percent:7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XKMlQIAADIFAAAOAAAAZHJzL2Uyb0RvYy54bWysVNtuEzEQfUfiHyy/p3th02RX2VRtShBS&#10;gYrCBzi2N2vhG7aTTUH8O2NvE1J4QYg8bDwz9vjMmTNeXB2URHvuvDC6xcVFjhHX1DChty3+/Gk9&#10;mWPkA9GMSKN5ix+5x1fLly8Wg214aXojGXcIkmjfDLbFfQi2yTJPe66IvzCWawh2xikSwHTbjDky&#10;QHYlszLPL7PBOGadodx78N6OQbxM+buO0/Ch6zwPSLYYsIX0dem7id9suSDN1hHbC/oEg/wDCkWE&#10;hktPqW5JIGjnxB+plKDOeNOFC2pUZrpOUJ5qgGqK/LdqHnpieaoFyPH2RJP/f2np+/29Q4K1uMJI&#10;EwUt+gikEb2VHNWRnsH6BnY92HsXC/T2ztAvHmmz6mEXv3bODD0nDEAVcX/27EA0PBxFm+GdYZCd&#10;7IJJTB06p2JC4AAdUkMeTw3hh4AoOItyXs6gbRRCsHxVFqljGWmOp63z4Q03CsVFix1gT9nJ/s6H&#10;iIY0xy0JvZGCrYWUyYgi4yvp0J6APMKhTEflTgHU0Vfk8TeqBPygpdF/hJF0GlOkm/x5dqnjHdrE&#10;20YgowdqA2gxFqtMGvleF2WV35T1ZH05n02qdTWd1LN8PsmL+qa+zKu6ul3/iOCKqukFY1zfCc2P&#10;ei2qv9PD0+SMSkuKRUOL62k5TXU/Q+/ddnNiJpFwKvm8SCUCjK8UqsXzM6qiHl5rBmWTJhAhx3X2&#10;HH6iDDg4/idWknqiYEbhbQx7BPE4A70FHcBDA4veuG8YDTC0LfZfd8RxjORbDQKsi6qKU56Major&#10;wXDnkc15hGgKqaDxGI3LVRhfhp11YtvDTUUiRptrEG0nkp6ioEdUgDsaMJipgqdHJE7+uZ12/Xrq&#10;lj8BAAD//wMAUEsDBBQABgAIAAAAIQD6tMvn3QAAAAQBAAAPAAAAZHJzL2Rvd25yZXYueG1sTI9B&#10;S8NAEIXvgv9hGcGb3TSNJcRsShGEXhStInibZsdNMDsbstsk9de7eqmXgcd7vPdNuZltJ0YafOtY&#10;wXKRgCCunW7ZKHh7fbjJQfiArLFzTApO5GFTXV6UWGg38QuN+2BELGFfoIImhL6Q0tcNWfQL1xNH&#10;79MNFkOUg5F6wCmW206mSbKWFluOCw32dN9Q/bU/WgUfU77L32ezW7XjaXX7tDXLx+9npa6v5u0d&#10;iEBzOIfhFz+iQxWZDu7I2otOQXwk/N3opUkK4qAgy7I1yKqU/+GrHwAAAP//AwBQSwECLQAUAAYA&#10;CAAAACEAtoM4kv4AAADhAQAAEwAAAAAAAAAAAAAAAAAAAAAAW0NvbnRlbnRfVHlwZXNdLnhtbFBL&#10;AQItABQABgAIAAAAIQA4/SH/1gAAAJQBAAALAAAAAAAAAAAAAAAAAC8BAABfcmVscy8ucmVsc1BL&#10;AQItABQABgAIAAAAIQDbiXKMlQIAADIFAAAOAAAAAAAAAAAAAAAAAC4CAABkcnMvZTJvRG9jLnht&#10;bFBLAQItABQABgAIAAAAIQD6tMvn3QAAAAQBAAAPAAAAAAAAAAAAAAAAAO8EAABkcnMvZG93bnJl&#10;di54bWxQSwUGAAAAAAQABADzAAAA+QUAAAAA&#10;" fillcolor="#d1282e [3215]" stroked="f">
                    <w10:wrap anchorx="margin" anchory="margin"/>
                  </v:rect>
                </w:pict>
              </mc:Fallback>
            </mc:AlternateContent>
          </w:r>
          <w:r w:rsidR="00BD7C5F">
            <w:rPr>
              <w:noProof/>
              <w:lang w:val="en-CA" w:eastAsia="en-CA"/>
            </w:rPr>
            <mc:AlternateContent>
              <mc:Choice Requires="wps">
                <w:drawing>
                  <wp:anchor distT="0" distB="0" distL="114300" distR="114300" simplePos="0" relativeHeight="251671552" behindDoc="0" locked="0" layoutInCell="1" allowOverlap="1" wp14:editId="25A778E8">
                    <wp:simplePos x="0" y="0"/>
                    <mc:AlternateContent>
                      <mc:Choice Requires="wp14">
                        <wp:positionH relativeFrom="margin">
                          <wp14:pctPosHOffset>101500</wp14:pctPosHOffset>
                        </wp:positionH>
                      </mc:Choice>
                      <mc:Fallback>
                        <wp:positionH relativeFrom="page">
                          <wp:posOffset>9504680</wp:posOffset>
                        </wp:positionH>
                      </mc:Fallback>
                    </mc:AlternateContent>
                    <mc:AlternateContent>
                      <mc:Choice Requires="wp14">
                        <wp:positionV relativeFrom="margin">
                          <wp14:pctPosVOffset>-2500</wp14:pctPosVOffset>
                        </wp:positionV>
                      </mc:Choice>
                      <mc:Fallback>
                        <wp:positionV relativeFrom="page">
                          <wp:posOffset>523875</wp:posOffset>
                        </wp:positionV>
                      </mc:Fallback>
                    </mc:AlternateContent>
                    <wp:extent cx="128270" cy="6297930"/>
                    <wp:effectExtent l="0" t="0" r="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29793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72500</wp14:pctHeight>
                    </wp14:sizeRelV>
                  </wp:anchor>
                </w:drawing>
              </mc:Choice>
              <mc:Fallback>
                <w:pict>
                  <v:rect w14:anchorId="7384D199" id="Rectangle 8" o:spid="_x0000_s1026" style="position:absolute;margin-left:0;margin-top:0;width:10.1pt;height:495.9pt;z-index:251671552;visibility:visible;mso-wrap-style:square;mso-width-percent:20;mso-height-percent:725;mso-left-percent:1015;mso-top-percent:-25;mso-wrap-distance-left:9pt;mso-wrap-distance-top:0;mso-wrap-distance-right:9pt;mso-wrap-distance-bottom:0;mso-position-horizontal-relative:margin;mso-position-vertical-relative:margin;mso-width-percent:20;mso-height-percent:725;mso-left-percent:1015;mso-top-percent:-25;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uRlgIAADIFAAAOAAAAZHJzL2Uyb0RvYy54bWysVNuO0zAQfUfiHyy/d3MhvSTadLUXipAW&#10;WLHwAa7tNBaObWy36YL4d8Z2W7rwghB9SD0z9vGZmTO+vNoPEu24dUKrFhcXOUZcUc2E2rT486fV&#10;ZIGR80QxIrXiLX7iDl8tX764HE3DS91rybhFAKJcM5oW996bJssc7flA3IU2XEGw03YgHky7yZgl&#10;I6APMivzfJaN2jJjNeXOgfcuBfEy4ncdp/5D1znukWwxcPPxa+N3Hb7Z8pI0G0tML+iBBvkHFgMR&#10;Ci49Qd0RT9DWij+gBkGtdrrzF1QPme46QXnMAbIp8t+yeeyJ4TEXKI4zpzK5/wdL3+8eLBKsxVOM&#10;FBmgRR+haERtJEeLUJ7RuAZ2PZoHGxJ05l7TLw4pfdvDLn5trR57ThiQKsL+7NmBYDg4itbjO80A&#10;nWy9jpXad3YIgFADtI8NeTo1hO89ouAsykU5h7ZRCM3Kel6/ih3LSHM8bazzb7geUFi02AL3iE52&#10;984HNqQ5bonstRRsJaSMRhAZv5UW7QjIw++LeFRuB6CafEUefkkl4ActJf+RRtRpgIg3uXN0qcId&#10;SofbEpHkgdyAWoiFLKNGvtdFWeU3ZT1ZzRbzSbWqppN6ni8meVHf1LO8qqu71Y9ArqiaXjDG1b1Q&#10;/KjXovo7PRwmJyktKhaNLa6n5TTm/Yy9s5v1qTKxCKeUz5MchIfxlWJo8eKsVEEPrxWDtEnjiZBp&#10;nT2nH0sGNTj+x6pE9QTBJOGtNXsC8VgNvQUdwEMDi17bbxiNMLQtdl+3xHKM5FsFAqyLqgpTHo1q&#10;Oi/BsOeR9XmEKApQ0HiM0vLWp5dha6zY9HBTEoTS1yDaTkQ9BUEnVsA7GDCYMYPDIxIm/9yOu349&#10;dcufAAAA//8DAFBLAwQUAAYACAAAACEAmuPAOd0AAAAEAQAADwAAAGRycy9kb3ducmV2LnhtbEyP&#10;T0vEMBDF78J+hzAL3ty0RaStTZdF8M9FZaOw7C1txrZsMylNuq1+eqMXvQw83uO93xTbxfTsjKPr&#10;LAmINxEwpNrqjhoB72/3Vykw5xVp1VtCAZ/oYFuuLgqVazvTHs/SNyyUkMuVgNb7Iefc1S0a5TZ2&#10;QArehx2N8kGODdejmkO56XkSRTfcqI7CQqsGvGuxPsnJCJCv08tjsmRfh+o448N1LNPnJynE5XrZ&#10;3QLzuPi/MPzgB3QoA1NlJ9KO9QLCI/73Bi+JEmCVgCyLU+Blwf/Dl98AAAD//wMAUEsBAi0AFAAG&#10;AAgAAAAhALaDOJL+AAAA4QEAABMAAAAAAAAAAAAAAAAAAAAAAFtDb250ZW50X1R5cGVzXS54bWxQ&#10;SwECLQAUAAYACAAAACEAOP0h/9YAAACUAQAACwAAAAAAAAAAAAAAAAAvAQAAX3JlbHMvLnJlbHNQ&#10;SwECLQAUAAYACAAAACEA1W27kZYCAAAyBQAADgAAAAAAAAAAAAAAAAAuAgAAZHJzL2Uyb0RvYy54&#10;bWxQSwECLQAUAAYACAAAACEAmuPAOd0AAAAEAQAADwAAAAAAAAAAAAAAAADwBAAAZHJzL2Rvd25y&#10;ZXYueG1sUEsFBgAAAAAEAAQA8wAAAPoFAAAAAA==&#10;" fillcolor="black [3213]" stroked="f">
                    <w10:wrap anchorx="margin" anchory="margin"/>
                  </v:rect>
                </w:pict>
              </mc:Fallback>
            </mc:AlternateContent>
          </w:r>
          <w:r w:rsidR="00BD7C5F">
            <w:rPr>
              <w:noProof/>
              <w:lang w:val="en-CA" w:eastAsia="en-CA"/>
            </w:rPr>
            <mc:AlternateContent>
              <mc:Choice Requires="wps">
                <w:drawing>
                  <wp:anchor distT="0" distB="0" distL="114300" distR="114300" simplePos="0" relativeHeight="251670528" behindDoc="0" locked="0" layoutInCell="1" allowOverlap="1" wp14:editId="24D61EBF">
                    <wp:simplePos x="0" y="0"/>
                    <wp:positionH relativeFrom="margin">
                      <wp:align>center</wp:align>
                    </wp:positionH>
                    <wp:positionV relativeFrom="margin">
                      <wp:align>center</wp:align>
                    </wp:positionV>
                    <wp:extent cx="6839585" cy="9121140"/>
                    <wp:effectExtent l="0" t="0" r="9525"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9585" cy="912114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107000</wp14:pctWidth>
                    </wp14:sizeRelH>
                    <wp14:sizeRelV relativeFrom="margin">
                      <wp14:pctHeight>105000</wp14:pctHeight>
                    </wp14:sizeRelV>
                  </wp:anchor>
                </w:drawing>
              </mc:Choice>
              <mc:Fallback>
                <w:pict>
                  <v:rect w14:anchorId="67534134" id="Rectangle 4" o:spid="_x0000_s1026" style="position:absolute;margin-left:0;margin-top:0;width:538.55pt;height:718.2pt;z-index:251670528;visibility:visible;mso-wrap-style:square;mso-width-percent:1070;mso-height-percent:1050;mso-wrap-distance-left:9pt;mso-wrap-distance-top:0;mso-wrap-distance-right:9pt;mso-wrap-distance-bottom:0;mso-position-horizontal:center;mso-position-horizontal-relative:margin;mso-position-vertical:center;mso-position-vertical-relative:margin;mso-width-percent:107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GlQIAADMFAAAOAAAAZHJzL2Uyb0RvYy54bWysVF1v2jAUfZ+0/2D5HRLTQCFqqCoC06Ru&#10;q9btBxjHIdb8kdmGwKr99107QGF7mablwfH1x/E59x777n6vJNpx64TRBSbDFCOumamE3hT465fV&#10;YIqR81RXVBrNC3zgDt/P376569qcj0xjZMUtAhDt8q4tcON9myeJYw1X1A1NyzVM1sYq6iG0m6Sy&#10;tAN0JZNRmk6SztiqtYZx52C07CfxPOLXNWf+U1077pEsMHDzsbWxXYc2md/RfGNp2wh2pEH/gYWi&#10;QsOhZ6iSeoq2VvwBpQSzxpnaD5lRialrwXjUAGpI+pua54a2PGqB5Lj2nCb3/2DZx92TRaIq8AQj&#10;TRWU6DMkjeqN5CgL6elal8Oq5/bJBoGufTTsm0PaLBpYxR+sNV3DaQWkSFifXG0IgYOtaN19MBWg&#10;0603MVP72qoACDlA+1iQw7kgfO8Rg8HJ9GY2no4xYjA3IyNCsliyhOan7a11/h03CoVOgS2Qj/B0&#10;9+h8oEPz05JwmjYrIWWsutSoA9TxaBw3OCNFFSajyuA/vpAW7Sg4x+9JXCO3ClT0YyQNX28gGAeb&#10;9eMngtHCASJyuEJXwoPppVAFnl6ghCwudRXJeSpk3wcBUgdOkBSQdOz15nqZpbPldDnNBtloshxk&#10;aVkOHlaLbDBZkdtxeVMuFiX5GaiTLG9EVXEdFJ6MTrK/M9LxyvUWPVv9SpKzm/U5Xav4RTOAYV7z&#10;mlzTiIkBVad/VBftExzTO29tqgO4x5r+5sJLA53G2B8YdXBrC+y+b6nlGMn3Ghw4Ixk4BPkYZOPb&#10;EQT2cmZ9OUM1AygoL0Z9d+H7p2HbWrFp4KS+7No8gGtrEf0UHN2zAt4hgJsZFRxfkXD1L+O46vWt&#10;m/8CAAD//wMAUEsDBBQABgAIAAAAIQADtk5P3AAAAAcBAAAPAAAAZHJzL2Rvd25yZXYueG1sTI9B&#10;T8MwDIXvSPyHyEjcWDoo2yhNpwmJA9xoK85ZY9pqiVOadCv8ejwucLGe9az3Pufb2VlxxDH0nhQs&#10;FwkIpMabnloFdfV8swERoiajrSdU8IUBtsXlRa4z40/0hscytoJDKGRaQRfjkEkZmg6dDgs/ILH3&#10;4UenI69jK82oTxzurLxNkpV0uidu6PSATx02h3JyCg5+87qrpvp7fkkfPm31Xrr6vlfq+mrePYKI&#10;OMe/YzjjMzoUzLT3E5kgrAJ+JP7Os5es10sQe1bp3SoFWeTyP3/xAwAA//8DAFBLAQItABQABgAI&#10;AAAAIQC2gziS/gAAAOEBAAATAAAAAAAAAAAAAAAAAAAAAABbQ29udGVudF9UeXBlc10ueG1sUEsB&#10;Ai0AFAAGAAgAAAAhADj9If/WAAAAlAEAAAsAAAAAAAAAAAAAAAAALwEAAF9yZWxzLy5yZWxzUEsB&#10;Ai0AFAAGAAgAAAAhAD+eZEaVAgAAMwUAAA4AAAAAAAAAAAAAAAAALgIAAGRycy9lMm9Eb2MueG1s&#10;UEsBAi0AFAAGAAgAAAAhAAO2Tk/cAAAABwEAAA8AAAAAAAAAAAAAAAAA7wQAAGRycy9kb3ducmV2&#10;LnhtbFBLBQYAAAAABAAEAPMAAAD4BQAAAAA=&#10;" filled="f" strokecolor="black [3213]">
                    <w10:wrap anchorx="margin" anchory="margin"/>
                  </v:rect>
                </w:pict>
              </mc:Fallback>
            </mc:AlternateContent>
          </w:r>
          <w:r w:rsidR="00BD7C5F">
            <w:rPr>
              <w:sz w:val="56"/>
            </w:rPr>
            <w:br w:type="page"/>
          </w:r>
        </w:p>
      </w:sdtContent>
    </w:sdt>
    <w:sdt>
      <w:sdtPr>
        <w:id w:val="633372245"/>
        <w:placeholder>
          <w:docPart w:val="8686EC641BBD4694BC899B2AC1CC63BC"/>
        </w:placeholder>
        <w:dataBinding w:prefixMappings="xmlns:ns0='http://schemas.openxmlformats.org/package/2006/metadata/core-properties' xmlns:ns1='http://purl.org/dc/elements/1.1/'" w:xpath="/ns0:coreProperties[1]/ns1:title[1]" w:storeItemID="{6C3C8BC8-F283-45AE-878A-BAB7291924A1}"/>
        <w:text/>
      </w:sdtPr>
      <w:sdtEndPr/>
      <w:sdtContent>
        <w:p w:rsidR="00350A48" w:rsidRDefault="00025D32">
          <w:pPr>
            <w:pStyle w:val="Title"/>
          </w:pPr>
          <w:r>
            <w:t>SOCIAL INNOVATION FOR ENERGY EFFICIENCY &amp;  LOW CARBON TRANSITIONS</w:t>
          </w:r>
        </w:p>
      </w:sdtContent>
    </w:sdt>
    <w:p w:rsidR="00350A48" w:rsidRDefault="00A729E0">
      <w:pPr>
        <w:pStyle w:val="Subtitle"/>
      </w:pPr>
      <w:sdt>
        <w:sdtPr>
          <w:id w:val="1161806749"/>
          <w:placeholder>
            <w:docPart w:val="1AD0532262EF440AAC86395B8459A056"/>
          </w:placeholder>
          <w:dataBinding w:prefixMappings="xmlns:ns0='http://schemas.openxmlformats.org/package/2006/metadata/core-properties' xmlns:ns1='http://purl.org/dc/elements/1.1/'" w:xpath="/ns0:coreProperties[1]/ns1:subject[1]" w:storeItemID="{6C3C8BC8-F283-45AE-878A-BAB7291924A1}"/>
          <w:text/>
        </w:sdtPr>
        <w:sdtEndPr/>
        <w:sdtContent>
          <w:r w:rsidR="002F0DC5">
            <w:t>EVALUATION APPROACH</w:t>
          </w:r>
        </w:sdtContent>
      </w:sdt>
      <w:r w:rsidR="00BD7C5F">
        <w:t xml:space="preserve"> </w:t>
      </w:r>
      <w:r w:rsidR="00BD7C5F">
        <w:rPr>
          <w:noProof/>
          <w:lang w:val="en-CA" w:eastAsia="en-CA"/>
        </w:rPr>
        <mc:AlternateContent>
          <mc:Choice Requires="wpg">
            <w:drawing>
              <wp:anchor distT="0" distB="0" distL="182880" distR="182880" simplePos="0" relativeHeight="251676672" behindDoc="0" locked="0" layoutInCell="1" allowOverlap="1" wp14:editId="61513E88">
                <wp:simplePos x="0" y="0"/>
                <mc:AlternateContent>
                  <mc:Choice Requires="wp14">
                    <wp:positionH relativeFrom="margin">
                      <wp14:pctPosHOffset>72000</wp14:pctPosHOffset>
                    </wp:positionH>
                  </mc:Choice>
                  <mc:Fallback>
                    <wp:positionH relativeFrom="page">
                      <wp:posOffset>6940550</wp:posOffset>
                    </wp:positionH>
                  </mc:Fallback>
                </mc:AlternateContent>
                <mc:AlternateContent>
                  <mc:Choice Requires="wp14">
                    <wp:positionV relativeFrom="margin">
                      <wp14:pctPosVOffset>-2500</wp14:pctPosVOffset>
                    </wp:positionV>
                  </mc:Choice>
                  <mc:Fallback>
                    <wp:positionV relativeFrom="page">
                      <wp:posOffset>523875</wp:posOffset>
                    </wp:positionV>
                  </mc:Fallback>
                </mc:AlternateContent>
                <wp:extent cx="2048510" cy="9121269"/>
                <wp:effectExtent l="0" t="0" r="0" b="0"/>
                <wp:wrapSquare wrapText="bothSides"/>
                <wp:docPr id="14" name="Group 14"/>
                <wp:cNvGraphicFramePr/>
                <a:graphic xmlns:a="http://schemas.openxmlformats.org/drawingml/2006/main">
                  <a:graphicData uri="http://schemas.microsoft.com/office/word/2010/wordprocessingGroup">
                    <wpg:wgp>
                      <wpg:cNvGrpSpPr/>
                      <wpg:grpSpPr>
                        <a:xfrm>
                          <a:off x="0" y="0"/>
                          <a:ext cx="2048510" cy="9121269"/>
                          <a:chOff x="0" y="0"/>
                          <a:chExt cx="2048510" cy="9121269"/>
                        </a:xfrm>
                      </wpg:grpSpPr>
                      <wps:wsp>
                        <wps:cNvPr id="8" name="Rectangle 18"/>
                        <wps:cNvSpPr>
                          <a:spLocks noChangeArrowheads="1"/>
                        </wps:cNvSpPr>
                        <wps:spPr bwMode="auto">
                          <a:xfrm>
                            <a:off x="0" y="6298059"/>
                            <a:ext cx="2048510" cy="282321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7"/>
                        <wps:cNvSpPr>
                          <a:spLocks noChangeArrowheads="1"/>
                        </wps:cNvSpPr>
                        <wps:spPr bwMode="auto">
                          <a:xfrm>
                            <a:off x="0" y="0"/>
                            <a:ext cx="2048510" cy="629793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Text Box 14"/>
                        <wps:cNvSpPr txBox="1">
                          <a:spLocks noChangeArrowheads="1"/>
                        </wps:cNvSpPr>
                        <wps:spPr bwMode="auto">
                          <a:xfrm>
                            <a:off x="143838" y="215758"/>
                            <a:ext cx="1604645" cy="8680806"/>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ABC" w:rsidRPr="00573699" w:rsidRDefault="00AE1ABC" w:rsidP="008E3990">
                              <w:pPr>
                                <w:pStyle w:val="Subtitle"/>
                                <w:rPr>
                                  <w:color w:val="C8C8B1" w:themeColor="background2"/>
                                  <w:sz w:val="16"/>
                                  <w:szCs w:val="16"/>
                                </w:rPr>
                              </w:pPr>
                              <w:r>
                                <w:rPr>
                                  <w:color w:val="C8C8B1" w:themeColor="background2"/>
                                  <w:sz w:val="16"/>
                                  <w:szCs w:val="16"/>
                                </w:rPr>
                                <w:t>ABOUT THIS DOCUMENT</w:t>
                              </w:r>
                            </w:p>
                            <w:p w:rsidR="00AE1ABC" w:rsidRPr="005B647C" w:rsidRDefault="00AE1ABC" w:rsidP="001F08EB">
                              <w:pPr>
                                <w:spacing w:line="480" w:lineRule="auto"/>
                                <w:rPr>
                                  <w:color w:val="FFFFFF" w:themeColor="background1"/>
                                  <w:sz w:val="18"/>
                                  <w:szCs w:val="18"/>
                                </w:rPr>
                              </w:pPr>
                              <w:r w:rsidRPr="005B647C">
                                <w:rPr>
                                  <w:color w:val="FFFFFF" w:themeColor="background1"/>
                                  <w:sz w:val="18"/>
                                  <w:szCs w:val="18"/>
                                </w:rPr>
                                <w:t>The OEE Social Innovation Unit’s evaluation and performance measurement framework has been co-created with Steve Montague (Performance Management Network Inc).</w:t>
                              </w:r>
                            </w:p>
                            <w:p w:rsidR="00AE1ABC" w:rsidRPr="005B647C" w:rsidRDefault="00AE1ABC" w:rsidP="001F08EB">
                              <w:pPr>
                                <w:spacing w:line="480" w:lineRule="auto"/>
                                <w:rPr>
                                  <w:color w:val="FFFFFF" w:themeColor="background1"/>
                                  <w:sz w:val="18"/>
                                  <w:szCs w:val="18"/>
                                </w:rPr>
                              </w:pPr>
                              <w:r w:rsidRPr="005B647C">
                                <w:rPr>
                                  <w:color w:val="FFFFFF" w:themeColor="background1"/>
                                  <w:sz w:val="18"/>
                                  <w:szCs w:val="18"/>
                                </w:rPr>
                                <w:t>Annexes A, B and C were developed by Steve Montague as refercen material to support the development of results plans and measurement.</w:t>
                              </w:r>
                            </w:p>
                            <w:p w:rsidR="00AE1ABC" w:rsidRPr="005B647C" w:rsidRDefault="00AE1ABC" w:rsidP="001F08EB">
                              <w:pPr>
                                <w:spacing w:line="480" w:lineRule="auto"/>
                                <w:rPr>
                                  <w:color w:val="FFFFFF" w:themeColor="background1"/>
                                  <w:sz w:val="18"/>
                                  <w:szCs w:val="18"/>
                                </w:rPr>
                              </w:pPr>
                              <w:r w:rsidRPr="005B647C">
                                <w:rPr>
                                  <w:color w:val="FFFFFF" w:themeColor="background1"/>
                                  <w:sz w:val="18"/>
                                  <w:szCs w:val="18"/>
                                </w:rPr>
                                <w:t>The purpose of this work is to frame, guide and report out on the Social Innovation Unit’s projects both individually and collectively. It also provides an opportunity to embed an evaluation approach more directly into what we do as we do it to inform learning and actions as opposed to relying solely on retrospective evaluation after a prolonged period.</w:t>
                              </w:r>
                            </w:p>
                            <w:p w:rsidR="00AE1ABC" w:rsidRDefault="00AE1ABC">
                              <w:pPr>
                                <w:spacing w:line="480" w:lineRule="auto"/>
                                <w:rPr>
                                  <w:color w:val="FFFFFF" w:themeColor="background1"/>
                                </w:rPr>
                              </w:pPr>
                            </w:p>
                          </w:txbxContent>
                        </wps:txbx>
                        <wps:bodyPr rot="0" vert="horz" wrap="square" lIns="91440" tIns="45720" rIns="91440" bIns="45720" anchor="t" anchorCtr="0" upright="1">
                          <a:noAutofit/>
                        </wps:bodyPr>
                      </wps:wsp>
                    </wpg:wgp>
                  </a:graphicData>
                </a:graphic>
                <wp14:sizeRelH relativeFrom="margin">
                  <wp14:pctWidth>32000</wp14:pctWidth>
                </wp14:sizeRelH>
                <wp14:sizeRelV relativeFrom="margin">
                  <wp14:pctHeight>105000</wp14:pctHeight>
                </wp14:sizeRelV>
              </wp:anchor>
            </w:drawing>
          </mc:Choice>
          <mc:Fallback>
            <w:pict>
              <v:group id="Group 14" o:spid="_x0000_s1029" style="position:absolute;margin-left:0;margin-top:0;width:161.3pt;height:718.2pt;z-index:251676672;mso-width-percent:320;mso-height-percent:1050;mso-left-percent:720;mso-top-percent:-25;mso-wrap-distance-left:14.4pt;mso-wrap-distance-right:14.4pt;mso-position-horizontal-relative:margin;mso-position-vertical-relative:margin;mso-width-percent:320;mso-height-percent:1050;mso-left-percent:720;mso-top-percent:-25;mso-width-relative:margin;mso-height-relative:margin" coordsize="20485,9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NkwAMAAIQOAAAOAAAAZHJzL2Uyb0RvYy54bWzsV9tu3DYQfS+QfyD0LkvUSlpJ8Dqw92IU&#10;cNqgST+AK1EXVCJVkmvJCfrvHZIreTcxkDZOigbwPmg1vM6cmTMzunw9di26p0I2nK0cfOE7iLKc&#10;Fw2rVs7v73du4iCpCCtIyxldOQ9UOq+vXv10OfQZDXjN24IKBIcwmQ39yqmV6jPPk3lNOyIveE8Z&#10;TJZcdESBKCqvEGSA07vWC3w/9gYuil7wnEoJoxs76VyZ88uS5urXspRUoXblgG7KPIV57vXTu7ok&#10;WSVIXzf5UQ3yFVp0pGFw6XzUhiiCDqL57KiuyQWXvFQXOe88XpZNTo0NYA32P7HmVvBDb2ypsqHq&#10;Z5gA2k9w+upj81/u3wrUFOC70EGMdOAjcy0CGcAZ+iqDNbeif9e/FceBykra3rEUnf4HS9BoYH2Y&#10;YaWjQjkMBn6YRBjQz2EuxQEO4tQCn9fgnc/25fX2Czu96WJP6zerM/QQRPIRJ/k8nN7VpKcGfqkx&#10;OOIEAW1h+g2Ci7CqpQgnFiqzTOOkEZH9Hc//kIjxdQ3L6LUQfKgpKUArrNeD7icbtCBhK9oPb3gB&#10;XiAHxU1IPQlxHKSJHx1hfBLoIAkWAaCub5rgIlkvpLqlvEP6ZeUIsMFcQu7vpLJLpyXGCN42xa5p&#10;WyNoUtJ1K9A9ATqpMTBb20MHGtsx7OufdS6Ma++atZMahtf6CKOUPD29ZfoOxvVtVhE7AsaBanpO&#10;m2k49RGCKPRvgtTdxcnSDXdh5KZLP3F9nN6ksR+m4Wb3l1YOh1ndFAVldw2jE79x+M/i4phpLDMN&#10;w9EAARwFkbH7THspqv2MjAFhNvnUyK5RkO7apls5yQlUOiy2rACzSaZI09p371x9AxlgMP0bVEwQ&#10;6bjRVJXZnhcPEEOCg2+BcJCY4aXm4oODBkhyK0f+eSCCOqj9mUEcpjgMdVY0QhgtAxDE6cz+dIaw&#10;HI4CxzvIvq6VzaSHXjRVDTdhAwzj1xC7ZWPi6VEr0FsLQFCr63dnavoEU5f/OVOPbHiSo8DiZbqY&#10;ImUi+kTAb8JR65IXjuqM/MLR/x1HdVtgy+l7zZAbPs6Nx1wckRphfMou36uu4nCRLKC4Q48S4GgZ&#10;mZpui45uYjCUlTiMbBOTxImf+PHzautc6kj2r2qfn26TbRK6YRBv3dDfbNzr3Tp04x1eRpvFZr3e&#10;4PPapyvq82ufrk3nJe+8HdhX3zDVnJQ+231AC2NK30sXoLu5L3QBatyPpqdfTNXuR+kLTD8Pnzqm&#10;xzl+lulvqVPZ9BGPH49XfwMAAP//AwBQSwMEFAAGAAgAAAAhAES5tebdAAAABgEAAA8AAABkcnMv&#10;ZG93bnJldi54bWxMj0FLw0AQhe+C/2EZwUuxG9MYS5pNUcGC9GTUnrfZaRLMzobspo3+eqde9PJg&#10;eI/3vsnXk+3EEQffOlJwO49AIFXOtFQreH97vlmC8EGT0Z0jVPCFHtbF5UWuM+NO9IrHMtSCS8hn&#10;WkETQp9J6asGrfZz1yOxd3CD1YHPoZZm0Ccut52MoyiVVrfEC43u8anB6rMcrYKXj/ru8XtW+uUm&#10;9slhtx3lvZwpdX01PaxABJzCXxjO+IwOBTPt3UjGi04BPxJ+lb1FHKcg9hxKFmkCssjlf/ziBwAA&#10;//8DAFBLAQItABQABgAIAAAAIQC2gziS/gAAAOEBAAATAAAAAAAAAAAAAAAAAAAAAABbQ29udGVu&#10;dF9UeXBlc10ueG1sUEsBAi0AFAAGAAgAAAAhADj9If/WAAAAlAEAAAsAAAAAAAAAAAAAAAAALwEA&#10;AF9yZWxzLy5yZWxzUEsBAi0AFAAGAAgAAAAhAKPA42TAAwAAhA4AAA4AAAAAAAAAAAAAAAAALgIA&#10;AGRycy9lMm9Eb2MueG1sUEsBAi0AFAAGAAgAAAAhAES5tebdAAAABgEAAA8AAAAAAAAAAAAAAAAA&#10;GgYAAGRycy9kb3ducmV2LnhtbFBLBQYAAAAABAAEAPMAAAAkBwAAAAA=&#10;">
                <v:rect id="Rectangle 18" o:spid="_x0000_s1030" style="position:absolute;top:62980;width:20485;height:28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0M9wgAAANoAAAAPAAAAZHJzL2Rvd25yZXYueG1sRE9Na4NA&#10;EL0X8h+WCeRW1+RQinUNTaAhh4JoE+hx6k5U4s5ad6Omv757KPT4eN/pdjadGGlwrWUF6ygGQVxZ&#10;3XKt4PTx9vgMwnlkjZ1lUnAnB9ts8ZBiou3EBY2lr0UIYZeggsb7PpHSVQ0ZdJHtiQN3sYNBH+BQ&#10;Sz3gFMJNJzdx/CQNthwaGuxp31B1LW9GwU9+m2nafPeyfN+Nh8/i8hWfc6VWy/n1BYSn2f+L/9xH&#10;rSBsDVfCDZDZLwAAAP//AwBQSwECLQAUAAYACAAAACEA2+H2y+4AAACFAQAAEwAAAAAAAAAAAAAA&#10;AAAAAAAAW0NvbnRlbnRfVHlwZXNdLnhtbFBLAQItABQABgAIAAAAIQBa9CxbvwAAABUBAAALAAAA&#10;AAAAAAAAAAAAAB8BAABfcmVscy8ucmVsc1BLAQItABQABgAIAAAAIQDHn0M9wgAAANoAAAAPAAAA&#10;AAAAAAAAAAAAAAcCAABkcnMvZG93bnJldi54bWxQSwUGAAAAAAMAAwC3AAAA9gIAAAAA&#10;" fillcolor="#d1282e [3215]" stroked="f"/>
                <v:rect id="Rectangle 17" o:spid="_x0000_s1031" style="position:absolute;width:20485;height:62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jb8wAAAANoAAAAPAAAAZHJzL2Rvd25yZXYueG1sRI9Pi8Iw&#10;FMTvgt8hPGEvoqnuIrUai7oIe13/3J/Nsy02L7WJtfvtN4LgcZiZ3zDLtDOVaKlxpWUFk3EEgjiz&#10;uuRcwfGwG8UgnEfWWFkmBX/kIF31e0tMtH3wL7V7n4sAYZeggsL7OpHSZQUZdGNbEwfvYhuDPsgm&#10;l7rBR4CbSk6jaCYNlhwWCqxpW1B23d+Ngi8Tb3jOu++z704ys590Ixoq9THo1gsQnjr/Dr/aP1rB&#10;HJ5Xwg2Qq38AAAD//wMAUEsBAi0AFAAGAAgAAAAhANvh9svuAAAAhQEAABMAAAAAAAAAAAAAAAAA&#10;AAAAAFtDb250ZW50X1R5cGVzXS54bWxQSwECLQAUAAYACAAAACEAWvQsW78AAAAVAQAACwAAAAAA&#10;AAAAAAAAAAAfAQAAX3JlbHMvLnJlbHNQSwECLQAUAAYACAAAACEAjcY2/MAAAADaAAAADwAAAAAA&#10;AAAAAAAAAAAHAgAAZHJzL2Rvd25yZXYueG1sUEsFBgAAAAADAAMAtwAAAPQCAAAAAA==&#10;" fillcolor="black [3213]" stroked="f"/>
                <v:shape id="Text Box 14" o:spid="_x0000_s1032" type="#_x0000_t202" style="position:absolute;left:1438;top:2157;width:16046;height:86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rTxgAAANsAAAAPAAAAZHJzL2Rvd25yZXYueG1sRI9Pb8Iw&#10;DMXvSHyHyJN2mUbKJBB0BLQxIf5cGGyX3azGaysap0oyKN8eHyZxs/We3/t5tuhco84UYu3ZwHCQ&#10;gSIuvK25NPD9tXqegIoJ2WLjmQxcKcJi3u/NMLf+wgc6H1OpJIRjjgaqlNpc61hU5DAOfEss2q8P&#10;DpOsodQ24EXCXaNfsmysHdYsDRW2tKyoOB3/nIF9ttTTp937x0+zPQzDZjpah8+tMY8P3dsrqERd&#10;upv/rzdW8IVefpEB9PwGAAD//wMAUEsBAi0AFAAGAAgAAAAhANvh9svuAAAAhQEAABMAAAAAAAAA&#10;AAAAAAAAAAAAAFtDb250ZW50X1R5cGVzXS54bWxQSwECLQAUAAYACAAAACEAWvQsW78AAAAVAQAA&#10;CwAAAAAAAAAAAAAAAAAfAQAAX3JlbHMvLnJlbHNQSwECLQAUAAYACAAAACEAGJzq08YAAADbAAAA&#10;DwAAAAAAAAAAAAAAAAAHAgAAZHJzL2Rvd25yZXYueG1sUEsFBgAAAAADAAMAtwAAAPoCAAAAAA==&#10;" filled="f" fillcolor="white [3212]" stroked="f">
                  <v:textbox>
                    <w:txbxContent>
                      <w:p w:rsidR="00AE1ABC" w:rsidRPr="00573699" w:rsidRDefault="00AE1ABC" w:rsidP="008E3990">
                        <w:pPr>
                          <w:pStyle w:val="Subtitle"/>
                          <w:rPr>
                            <w:color w:val="C8C8B1" w:themeColor="background2"/>
                            <w:sz w:val="16"/>
                            <w:szCs w:val="16"/>
                          </w:rPr>
                        </w:pPr>
                        <w:r>
                          <w:rPr>
                            <w:color w:val="C8C8B1" w:themeColor="background2"/>
                            <w:sz w:val="16"/>
                            <w:szCs w:val="16"/>
                          </w:rPr>
                          <w:t>ABOUT THIS DOCUMENT</w:t>
                        </w:r>
                      </w:p>
                      <w:p w:rsidR="00AE1ABC" w:rsidRPr="005B647C" w:rsidRDefault="00AE1ABC" w:rsidP="001F08EB">
                        <w:pPr>
                          <w:spacing w:line="480" w:lineRule="auto"/>
                          <w:rPr>
                            <w:color w:val="FFFFFF" w:themeColor="background1"/>
                            <w:sz w:val="18"/>
                            <w:szCs w:val="18"/>
                          </w:rPr>
                        </w:pPr>
                        <w:r w:rsidRPr="005B647C">
                          <w:rPr>
                            <w:color w:val="FFFFFF" w:themeColor="background1"/>
                            <w:sz w:val="18"/>
                            <w:szCs w:val="18"/>
                          </w:rPr>
                          <w:t>The OEE Social Innovation Unit’s evaluation and performance measurement framework has been co-created with Steve Montague (Performance Management Network Inc).</w:t>
                        </w:r>
                      </w:p>
                      <w:p w:rsidR="00AE1ABC" w:rsidRPr="005B647C" w:rsidRDefault="00AE1ABC" w:rsidP="001F08EB">
                        <w:pPr>
                          <w:spacing w:line="480" w:lineRule="auto"/>
                          <w:rPr>
                            <w:color w:val="FFFFFF" w:themeColor="background1"/>
                            <w:sz w:val="18"/>
                            <w:szCs w:val="18"/>
                          </w:rPr>
                        </w:pPr>
                        <w:r w:rsidRPr="005B647C">
                          <w:rPr>
                            <w:color w:val="FFFFFF" w:themeColor="background1"/>
                            <w:sz w:val="18"/>
                            <w:szCs w:val="18"/>
                          </w:rPr>
                          <w:t>Annexes A, B and C were developed by Steve Montague as refercen material to support the development of results plans and measurement.</w:t>
                        </w:r>
                      </w:p>
                      <w:p w:rsidR="00AE1ABC" w:rsidRPr="005B647C" w:rsidRDefault="00AE1ABC" w:rsidP="001F08EB">
                        <w:pPr>
                          <w:spacing w:line="480" w:lineRule="auto"/>
                          <w:rPr>
                            <w:color w:val="FFFFFF" w:themeColor="background1"/>
                            <w:sz w:val="18"/>
                            <w:szCs w:val="18"/>
                          </w:rPr>
                        </w:pPr>
                        <w:r w:rsidRPr="005B647C">
                          <w:rPr>
                            <w:color w:val="FFFFFF" w:themeColor="background1"/>
                            <w:sz w:val="18"/>
                            <w:szCs w:val="18"/>
                          </w:rPr>
                          <w:t>The purpose of this work is to frame, guide and report out on the Social Innovation Unit’s projects both individually and collectively. It also provides an opportunity to embed an evaluation approach more directly into what we do as we do it to inform learning and actions as opposed to relying solely on retrospective evaluation after a prolonged period.</w:t>
                        </w:r>
                      </w:p>
                      <w:p w:rsidR="00AE1ABC" w:rsidRDefault="00AE1ABC">
                        <w:pPr>
                          <w:spacing w:line="480" w:lineRule="auto"/>
                          <w:rPr>
                            <w:color w:val="FFFFFF" w:themeColor="background1"/>
                          </w:rPr>
                        </w:pPr>
                      </w:p>
                    </w:txbxContent>
                  </v:textbox>
                </v:shape>
                <w10:wrap type="square" anchorx="margin" anchory="margin"/>
              </v:group>
            </w:pict>
          </mc:Fallback>
        </mc:AlternateContent>
      </w:r>
    </w:p>
    <w:p w:rsidR="00350A48" w:rsidRPr="00214EB9" w:rsidRDefault="00214EB9" w:rsidP="00214EB9">
      <w:pPr>
        <w:rPr>
          <w:rFonts w:asciiTheme="majorHAnsi" w:hAnsiTheme="majorHAnsi"/>
          <w:sz w:val="28"/>
          <w:szCs w:val="28"/>
        </w:rPr>
      </w:pPr>
      <w:r>
        <w:rPr>
          <w:rFonts w:asciiTheme="majorHAnsi" w:hAnsiTheme="majorHAnsi"/>
          <w:sz w:val="28"/>
          <w:szCs w:val="28"/>
        </w:rPr>
        <w:t xml:space="preserve">1. </w:t>
      </w:r>
      <w:r w:rsidRPr="00214EB9">
        <w:rPr>
          <w:rFonts w:asciiTheme="majorHAnsi" w:hAnsiTheme="majorHAnsi"/>
          <w:sz w:val="28"/>
          <w:szCs w:val="28"/>
        </w:rPr>
        <w:t>INTRODUCTION</w:t>
      </w:r>
    </w:p>
    <w:p w:rsidR="00214EB9" w:rsidRPr="00D35281" w:rsidRDefault="00214EB9" w:rsidP="00214EB9">
      <w:pPr>
        <w:autoSpaceDE w:val="0"/>
        <w:autoSpaceDN w:val="0"/>
        <w:adjustRightInd w:val="0"/>
        <w:rPr>
          <w:rFonts w:cs="Arial"/>
          <w:bCs/>
        </w:rPr>
      </w:pPr>
      <w:r w:rsidRPr="00D35281">
        <w:rPr>
          <w:rFonts w:cs="Arial"/>
          <w:bCs/>
        </w:rPr>
        <w:t xml:space="preserve">Natural Resources Canada (NRCan) has a mandate through the </w:t>
      </w:r>
      <w:r w:rsidRPr="00D35281">
        <w:rPr>
          <w:rFonts w:cs="Arial"/>
          <w:bCs/>
          <w:i/>
        </w:rPr>
        <w:t>Energy Efficiency Act</w:t>
      </w:r>
      <w:r w:rsidRPr="00D35281">
        <w:rPr>
          <w:rFonts w:cs="Arial"/>
          <w:bCs/>
        </w:rPr>
        <w:t xml:space="preserve"> to promote energy efficiency, to make and enforce regulations that prescribe standards and labelling requirements for energy-using products and products that affect energy use, and to collect data on energy use.  The federal government also plays a role in providing leadership, identifying and coordinating solutions across jurisdictions and creating national frameworks, standards and tools that can be used by other jurisdictions and organizations. This role helps to overcome financial and non-financial barriers to energy efficiency, including the lack of policies, high incremental costs, and low consumer awareness and confidence.</w:t>
      </w:r>
    </w:p>
    <w:p w:rsidR="00214EB9" w:rsidRDefault="00214EB9" w:rsidP="00214EB9">
      <w:pPr>
        <w:rPr>
          <w:rFonts w:cs="Arial"/>
          <w:bCs/>
        </w:rPr>
      </w:pPr>
      <w:r w:rsidRPr="00D35281">
        <w:rPr>
          <w:rFonts w:cs="Arial"/>
          <w:bCs/>
        </w:rPr>
        <w:t>To support this mandate, NRCan’s Office of Energy Efficiency (OEE) Social Innovation Unit is introducing and using new ways of engaging Canadians and partners to inform and advance research, prototyping and testing of innovative solutions that help overcome barriers, continuously improve the uptake of existing tools and programs, and/or create new tools, services and partnerships that work.</w:t>
      </w:r>
    </w:p>
    <w:p w:rsidR="008E3990" w:rsidRDefault="008E3990" w:rsidP="00214EB9">
      <w:pPr>
        <w:rPr>
          <w:rFonts w:cs="Arial"/>
          <w:bCs/>
        </w:rPr>
      </w:pPr>
    </w:p>
    <w:p w:rsidR="00214EB9" w:rsidRPr="00214EB9" w:rsidRDefault="00214EB9" w:rsidP="00214EB9">
      <w:pPr>
        <w:rPr>
          <w:rFonts w:asciiTheme="majorHAnsi" w:hAnsiTheme="majorHAnsi"/>
          <w:sz w:val="24"/>
          <w:szCs w:val="24"/>
        </w:rPr>
      </w:pPr>
      <w:r>
        <w:rPr>
          <w:rFonts w:asciiTheme="majorHAnsi" w:hAnsiTheme="majorHAnsi"/>
          <w:sz w:val="24"/>
          <w:szCs w:val="24"/>
        </w:rPr>
        <w:t xml:space="preserve">1.1 </w:t>
      </w:r>
      <w:r w:rsidRPr="00214EB9">
        <w:rPr>
          <w:rFonts w:asciiTheme="majorHAnsi" w:hAnsiTheme="majorHAnsi"/>
          <w:sz w:val="24"/>
          <w:szCs w:val="24"/>
        </w:rPr>
        <w:t>THE OBJECTIVES OF THIS FRAMEWORK</w:t>
      </w:r>
    </w:p>
    <w:p w:rsidR="00214EB9" w:rsidRPr="00D35281" w:rsidRDefault="00214EB9" w:rsidP="00214EB9">
      <w:pPr>
        <w:autoSpaceDE w:val="0"/>
        <w:autoSpaceDN w:val="0"/>
        <w:adjustRightInd w:val="0"/>
        <w:rPr>
          <w:rFonts w:cs="Arial"/>
        </w:rPr>
      </w:pPr>
      <w:r w:rsidRPr="00D35281">
        <w:rPr>
          <w:rFonts w:cs="Arial"/>
          <w:bCs/>
        </w:rPr>
        <w:t>The objectives of this framework are to develop a performance measurement and developmental evaluation</w:t>
      </w:r>
      <w:r w:rsidRPr="00D35281">
        <w:rPr>
          <w:rFonts w:cs="Arial"/>
        </w:rPr>
        <w:t xml:space="preserve"> approach</w:t>
      </w:r>
      <w:r w:rsidRPr="00D35281">
        <w:rPr>
          <w:rStyle w:val="FootnoteReference"/>
          <w:rFonts w:cs="Arial"/>
        </w:rPr>
        <w:footnoteReference w:id="1"/>
      </w:r>
      <w:r w:rsidRPr="00D35281">
        <w:rPr>
          <w:rFonts w:cs="Arial"/>
        </w:rPr>
        <w:t xml:space="preserve"> to drive the following objectives:</w:t>
      </w:r>
    </w:p>
    <w:p w:rsidR="00214EB9" w:rsidRPr="00D35281" w:rsidRDefault="00214EB9" w:rsidP="00214EB9">
      <w:pPr>
        <w:numPr>
          <w:ilvl w:val="0"/>
          <w:numId w:val="1"/>
        </w:numPr>
        <w:autoSpaceDE w:val="0"/>
        <w:autoSpaceDN w:val="0"/>
        <w:adjustRightInd w:val="0"/>
        <w:spacing w:after="0" w:line="240" w:lineRule="auto"/>
        <w:rPr>
          <w:rFonts w:cs="Arial"/>
        </w:rPr>
      </w:pPr>
      <w:r w:rsidRPr="00D35281">
        <w:rPr>
          <w:rFonts w:cs="Arial"/>
        </w:rPr>
        <w:t>Confirm the value propositions, performance issues, and questions to be used to build a performance measurement and developmental evaluation approach for the Social Innovation Unit and its projects;</w:t>
      </w:r>
    </w:p>
    <w:p w:rsidR="00214EB9" w:rsidRPr="00D35281" w:rsidRDefault="00214EB9" w:rsidP="00214EB9">
      <w:pPr>
        <w:numPr>
          <w:ilvl w:val="0"/>
          <w:numId w:val="1"/>
        </w:numPr>
        <w:autoSpaceDE w:val="0"/>
        <w:autoSpaceDN w:val="0"/>
        <w:adjustRightInd w:val="0"/>
        <w:spacing w:after="0" w:line="240" w:lineRule="auto"/>
        <w:rPr>
          <w:rFonts w:cs="Arial"/>
        </w:rPr>
      </w:pPr>
      <w:r w:rsidRPr="00D35281">
        <w:rPr>
          <w:rFonts w:cs="Arial"/>
        </w:rPr>
        <w:t>Determine and advise on ‘evaluability’ of projects, individually and collectively (e.g., data availability and quality); and,</w:t>
      </w:r>
    </w:p>
    <w:p w:rsidR="00214EB9" w:rsidRPr="00D35281" w:rsidRDefault="00214EB9" w:rsidP="00214EB9">
      <w:pPr>
        <w:numPr>
          <w:ilvl w:val="0"/>
          <w:numId w:val="1"/>
        </w:numPr>
        <w:autoSpaceDE w:val="0"/>
        <w:autoSpaceDN w:val="0"/>
        <w:adjustRightInd w:val="0"/>
        <w:spacing w:after="0" w:line="240" w:lineRule="auto"/>
        <w:rPr>
          <w:rFonts w:cs="Arial"/>
        </w:rPr>
      </w:pPr>
      <w:r w:rsidRPr="00D35281">
        <w:rPr>
          <w:rFonts w:cs="Arial"/>
        </w:rPr>
        <w:t>Identify the most appropriate performance measurement and evaluation approach based on multiple lines of evidence, costs, timeliness, data availability, and the performance issues to be addressed.</w:t>
      </w:r>
    </w:p>
    <w:p w:rsidR="00214EB9" w:rsidRDefault="00214EB9" w:rsidP="00214EB9">
      <w:pPr>
        <w:rPr>
          <w:rFonts w:eastAsia="Times New Roman"/>
          <w:szCs w:val="24"/>
        </w:rPr>
      </w:pPr>
    </w:p>
    <w:p w:rsidR="00214EB9" w:rsidRPr="00214EB9" w:rsidRDefault="00214EB9" w:rsidP="00214EB9">
      <w:pPr>
        <w:rPr>
          <w:rFonts w:asciiTheme="majorHAnsi" w:eastAsia="Times New Roman" w:hAnsiTheme="majorHAnsi"/>
          <w:sz w:val="28"/>
          <w:szCs w:val="28"/>
        </w:rPr>
      </w:pPr>
      <w:r w:rsidRPr="00214EB9">
        <w:rPr>
          <w:rFonts w:asciiTheme="majorHAnsi" w:eastAsia="Times New Roman" w:hAnsiTheme="majorHAnsi"/>
          <w:sz w:val="28"/>
          <w:szCs w:val="28"/>
        </w:rPr>
        <w:t xml:space="preserve">2. A </w:t>
      </w:r>
      <w:r>
        <w:rPr>
          <w:rFonts w:asciiTheme="majorHAnsi" w:eastAsia="Times New Roman" w:hAnsiTheme="majorHAnsi"/>
          <w:sz w:val="28"/>
          <w:szCs w:val="28"/>
        </w:rPr>
        <w:t>DEVELOPMENTAL EVALUATION APPROACH FOR OEE’S SOCIAL INNOVATION INITIATIVES</w:t>
      </w:r>
    </w:p>
    <w:p w:rsidR="00214EB9" w:rsidRPr="00D35281" w:rsidRDefault="00214EB9" w:rsidP="00214EB9">
      <w:pPr>
        <w:rPr>
          <w:rFonts w:eastAsia="Times New Roman"/>
          <w:szCs w:val="24"/>
        </w:rPr>
      </w:pPr>
      <w:r w:rsidRPr="00D35281">
        <w:rPr>
          <w:rFonts w:eastAsia="Times New Roman"/>
          <w:szCs w:val="24"/>
        </w:rPr>
        <w:t xml:space="preserve">According to Dozios </w:t>
      </w:r>
      <w:r w:rsidRPr="00D35281">
        <w:rPr>
          <w:rFonts w:eastAsia="Times New Roman"/>
          <w:i/>
          <w:szCs w:val="24"/>
        </w:rPr>
        <w:t>et al</w:t>
      </w:r>
      <w:r w:rsidRPr="00D35281">
        <w:rPr>
          <w:rFonts w:eastAsia="Times New Roman"/>
          <w:szCs w:val="24"/>
        </w:rPr>
        <w:t xml:space="preserve"> (2010) developmental evaluation differs from traditional forms of evaluation in several key ways:</w:t>
      </w:r>
    </w:p>
    <w:p w:rsidR="00214EB9" w:rsidRPr="00D35281" w:rsidRDefault="00214EB9" w:rsidP="00214EB9">
      <w:pPr>
        <w:pStyle w:val="ListParagraph"/>
        <w:numPr>
          <w:ilvl w:val="0"/>
          <w:numId w:val="2"/>
        </w:numPr>
        <w:spacing w:after="0" w:line="240" w:lineRule="auto"/>
        <w:rPr>
          <w:szCs w:val="24"/>
        </w:rPr>
      </w:pPr>
      <w:r w:rsidRPr="00D35281">
        <w:rPr>
          <w:szCs w:val="24"/>
        </w:rPr>
        <w:t>The primary focus is on adaptive learning rather than accountability to an external authority.</w:t>
      </w:r>
      <w:r w:rsidRPr="00D35281">
        <w:rPr>
          <w:rStyle w:val="FootnoteReference"/>
          <w:szCs w:val="24"/>
        </w:rPr>
        <w:footnoteReference w:id="2"/>
      </w:r>
    </w:p>
    <w:p w:rsidR="00214EB9" w:rsidRPr="00D35281" w:rsidRDefault="00214EB9" w:rsidP="00214EB9">
      <w:pPr>
        <w:pStyle w:val="ListParagraph"/>
        <w:numPr>
          <w:ilvl w:val="0"/>
          <w:numId w:val="2"/>
        </w:numPr>
        <w:spacing w:after="0" w:line="240" w:lineRule="auto"/>
        <w:rPr>
          <w:szCs w:val="24"/>
        </w:rPr>
      </w:pPr>
      <w:r w:rsidRPr="00D35281">
        <w:rPr>
          <w:szCs w:val="24"/>
        </w:rPr>
        <w:t>The purpose is to provide real-time feedback and generate learnings to inform development.</w:t>
      </w:r>
    </w:p>
    <w:p w:rsidR="00214EB9" w:rsidRPr="00D35281" w:rsidRDefault="00214EB9" w:rsidP="00214EB9">
      <w:pPr>
        <w:pStyle w:val="ListParagraph"/>
        <w:numPr>
          <w:ilvl w:val="0"/>
          <w:numId w:val="2"/>
        </w:numPr>
        <w:spacing w:after="0" w:line="240" w:lineRule="auto"/>
        <w:rPr>
          <w:szCs w:val="24"/>
        </w:rPr>
      </w:pPr>
      <w:r w:rsidRPr="00D35281">
        <w:rPr>
          <w:szCs w:val="24"/>
        </w:rPr>
        <w:t>The evaluator is embedded in the initiative as a member of the team.</w:t>
      </w:r>
    </w:p>
    <w:p w:rsidR="00214EB9" w:rsidRPr="00D35281" w:rsidRDefault="00214EB9" w:rsidP="00214EB9">
      <w:pPr>
        <w:pStyle w:val="ListParagraph"/>
        <w:numPr>
          <w:ilvl w:val="0"/>
          <w:numId w:val="2"/>
        </w:numPr>
        <w:spacing w:after="0" w:line="240" w:lineRule="auto"/>
        <w:rPr>
          <w:szCs w:val="24"/>
        </w:rPr>
      </w:pPr>
      <w:r w:rsidRPr="00D35281">
        <w:rPr>
          <w:szCs w:val="24"/>
        </w:rPr>
        <w:t>The DE role extends well beyond data collection and analysis; the evaluator actively intervenes to shape the course of development, helping to inform decision-making and facilitate learning.</w:t>
      </w:r>
    </w:p>
    <w:p w:rsidR="00214EB9" w:rsidRPr="00D35281" w:rsidRDefault="00214EB9" w:rsidP="00214EB9">
      <w:pPr>
        <w:pStyle w:val="ListParagraph"/>
        <w:numPr>
          <w:ilvl w:val="0"/>
          <w:numId w:val="2"/>
        </w:numPr>
        <w:spacing w:after="0" w:line="240" w:lineRule="auto"/>
        <w:rPr>
          <w:szCs w:val="24"/>
        </w:rPr>
      </w:pPr>
      <w:r w:rsidRPr="00D35281">
        <w:rPr>
          <w:szCs w:val="24"/>
        </w:rPr>
        <w:t>The evaluation is designed to capture system dynamics and surface innovative strategies and ideas.</w:t>
      </w:r>
    </w:p>
    <w:p w:rsidR="00214EB9" w:rsidRPr="00D35281" w:rsidRDefault="00214EB9" w:rsidP="00214EB9">
      <w:pPr>
        <w:pStyle w:val="ListParagraph"/>
        <w:numPr>
          <w:ilvl w:val="0"/>
          <w:numId w:val="2"/>
        </w:numPr>
        <w:spacing w:after="0" w:line="240" w:lineRule="auto"/>
        <w:rPr>
          <w:szCs w:val="24"/>
        </w:rPr>
      </w:pPr>
      <w:r w:rsidRPr="00D35281">
        <w:rPr>
          <w:szCs w:val="24"/>
        </w:rPr>
        <w:t>The approach is flexible, with new measures and monitoring mechanisms evolving as understanding of the situation deepens and the initiative’s goals emerge (adapted from Westley, Zimmerman &amp; Patton, 2006).</w:t>
      </w:r>
    </w:p>
    <w:p w:rsidR="00214EB9" w:rsidRPr="00D35281" w:rsidRDefault="00214EB9" w:rsidP="00214EB9">
      <w:pPr>
        <w:rPr>
          <w:rFonts w:eastAsia="Times New Roman"/>
          <w:szCs w:val="24"/>
        </w:rPr>
      </w:pPr>
    </w:p>
    <w:p w:rsidR="00214EB9" w:rsidRPr="00D35281" w:rsidRDefault="00214EB9" w:rsidP="00214EB9">
      <w:pPr>
        <w:rPr>
          <w:rFonts w:eastAsia="Times New Roman"/>
          <w:szCs w:val="24"/>
        </w:rPr>
      </w:pPr>
      <w:r w:rsidRPr="00D35281">
        <w:rPr>
          <w:rFonts w:eastAsia="Times New Roman"/>
          <w:szCs w:val="24"/>
        </w:rPr>
        <w:t xml:space="preserve">As such the approach seems ideally suited to an enterprise such as that of the Social Innovation Unit (SIU). As Patton (2008) notes developmental evaluation is but suited to those engaged in innovative initiatives and development – complex and interdependent initiatives which feature emergent learning and outcomes as the processes take place. At the end of the day developmental evaluation is focused on </w:t>
      </w:r>
      <w:r w:rsidRPr="00D35281">
        <w:rPr>
          <w:rFonts w:eastAsia="Times New Roman"/>
          <w:szCs w:val="24"/>
        </w:rPr>
        <w:lastRenderedPageBreak/>
        <w:t>learning and requires strategic (also systems) thinking, pattern recognition, relationship-building and leadership boiling down to strong listening and facilitation skills.</w:t>
      </w:r>
    </w:p>
    <w:p w:rsidR="00214EB9" w:rsidRPr="00D35281" w:rsidRDefault="00214EB9" w:rsidP="00214EB9">
      <w:pPr>
        <w:rPr>
          <w:rFonts w:eastAsia="Times New Roman"/>
          <w:szCs w:val="24"/>
        </w:rPr>
      </w:pPr>
      <w:r w:rsidRPr="00D35281">
        <w:rPr>
          <w:rFonts w:eastAsia="Times New Roman"/>
          <w:szCs w:val="24"/>
        </w:rPr>
        <w:t>As noted by Gamble (2008) developmental evaluation closely hinges on the process of strategy development and execution. As such there is a need to have a structured and disciplined conversation or dialogue about "what one is intending to do with whom and why?" while recognizing that the structure must follow frequent updating and adjustment to plans, expected results and even goals, as new information is sensed, interpreted, shared and in some cases more deeply understood creating knowledge and wisdom.</w:t>
      </w:r>
    </w:p>
    <w:p w:rsidR="00214EB9" w:rsidRPr="003A5D3A" w:rsidRDefault="00214EB9" w:rsidP="00214EB9">
      <w:pPr>
        <w:rPr>
          <w:rFonts w:eastAsia="Times New Roman"/>
          <w:szCs w:val="24"/>
        </w:rPr>
      </w:pPr>
      <w:r w:rsidRPr="00D35281">
        <w:rPr>
          <w:rFonts w:eastAsia="Times New Roman"/>
          <w:szCs w:val="24"/>
        </w:rPr>
        <w:t>As applied to the SIU, in a sense, the evolution of developmental evaluation parallels the modern evolution of thinking about how data, information and evidence (from projects, studies, research etc.) affect decision making.</w:t>
      </w:r>
    </w:p>
    <w:p w:rsidR="00214EB9" w:rsidRDefault="00214EB9" w:rsidP="00214EB9">
      <w:pPr>
        <w:rPr>
          <w:rFonts w:eastAsia="Calibri" w:cstheme="minorHAnsi"/>
        </w:rPr>
      </w:pPr>
      <w:r w:rsidRPr="00D35281">
        <w:rPr>
          <w:rFonts w:eastAsia="Calibri" w:cstheme="minorHAnsi"/>
        </w:rPr>
        <w:t>When it comes to a basic theory, many groups – consider a core theory of change to be what has been deemed the knowledge pyramid.</w:t>
      </w:r>
      <w:r w:rsidRPr="00D35281">
        <w:rPr>
          <w:rStyle w:val="FootnoteReference"/>
          <w:rFonts w:eastAsia="Calibri" w:cstheme="minorHAnsi"/>
        </w:rPr>
        <w:footnoteReference w:id="3"/>
      </w:r>
      <w:r w:rsidRPr="00D35281">
        <w:rPr>
          <w:rFonts w:eastAsia="Calibri" w:cstheme="minorHAnsi"/>
        </w:rPr>
        <w:t xml:space="preserve"> The knowledge pyramid is based on knowledge management theory and capacity development literature. Wisdom, in this context, is judgment derived from applying knowledge to decisions and learning from the impacts of those decisions.</w:t>
      </w:r>
    </w:p>
    <w:p w:rsidR="003A5D3A" w:rsidRPr="00D35281" w:rsidRDefault="003A5D3A" w:rsidP="00214EB9">
      <w:pPr>
        <w:rPr>
          <w:rFonts w:eastAsia="Calibri" w:cstheme="minorHAnsi"/>
        </w:rPr>
      </w:pPr>
    </w:p>
    <w:p w:rsidR="00214EB9" w:rsidRPr="00D35281" w:rsidRDefault="00214EB9" w:rsidP="0057458F">
      <w:pPr>
        <w:rPr>
          <w:rFonts w:eastAsia="Calibri" w:cstheme="minorHAnsi"/>
          <w:b/>
          <w:bCs/>
        </w:rPr>
      </w:pPr>
      <w:r w:rsidRPr="00D35281">
        <w:rPr>
          <w:rFonts w:eastAsia="Calibri" w:cstheme="minorHAnsi"/>
          <w:b/>
          <w:bCs/>
        </w:rPr>
        <w:t>The Knowledge Pyramid Illustrates the Use of Data to Enhance Wisdom</w:t>
      </w:r>
    </w:p>
    <w:p w:rsidR="00214EB9" w:rsidRPr="00D35281" w:rsidRDefault="00214EB9" w:rsidP="0057458F">
      <w:pPr>
        <w:ind w:firstLine="720"/>
        <w:rPr>
          <w:rFonts w:eastAsia="Calibri" w:cstheme="minorHAnsi"/>
          <w:sz w:val="16"/>
          <w:szCs w:val="16"/>
        </w:rPr>
      </w:pPr>
      <w:r w:rsidRPr="00D35281">
        <w:rPr>
          <w:rFonts w:eastAsia="Calibri" w:cstheme="minorHAnsi"/>
          <w:noProof/>
          <w:sz w:val="16"/>
          <w:szCs w:val="16"/>
          <w:lang w:val="en-CA" w:eastAsia="en-CA"/>
        </w:rPr>
        <w:drawing>
          <wp:anchor distT="0" distB="0" distL="114300" distR="114300" simplePos="0" relativeHeight="251682816" behindDoc="1" locked="0" layoutInCell="1" allowOverlap="1" wp14:anchorId="1C876B2A" wp14:editId="1226FB55">
            <wp:simplePos x="0" y="0"/>
            <wp:positionH relativeFrom="column">
              <wp:posOffset>539750</wp:posOffset>
            </wp:positionH>
            <wp:positionV relativeFrom="paragraph">
              <wp:posOffset>66040</wp:posOffset>
            </wp:positionV>
            <wp:extent cx="4914900" cy="952500"/>
            <wp:effectExtent l="19050" t="0" r="0" b="0"/>
            <wp:wrapTopAndBottom/>
            <wp:docPr id="18" name="Diagra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5"/>
                    <pic:cNvPicPr>
                      <a:picLocks noChangeArrowheads="1"/>
                    </pic:cNvPicPr>
                  </pic:nvPicPr>
                  <pic:blipFill>
                    <a:blip r:embed="rId9" cstate="print"/>
                    <a:srcRect/>
                    <a:stretch>
                      <a:fillRect/>
                    </a:stretch>
                  </pic:blipFill>
                  <pic:spPr bwMode="auto">
                    <a:xfrm>
                      <a:off x="0" y="0"/>
                      <a:ext cx="4914900" cy="952500"/>
                    </a:xfrm>
                    <a:prstGeom prst="rect">
                      <a:avLst/>
                    </a:prstGeom>
                    <a:noFill/>
                  </pic:spPr>
                </pic:pic>
              </a:graphicData>
            </a:graphic>
          </wp:anchor>
        </w:drawing>
      </w:r>
      <w:r w:rsidRPr="00D35281">
        <w:rPr>
          <w:rFonts w:eastAsia="Calibri" w:cstheme="minorHAnsi"/>
          <w:sz w:val="16"/>
          <w:szCs w:val="16"/>
        </w:rPr>
        <w:t>Source:  Ackoff, R. L., "From Data to Wisdom", Journal of Applies Systems Analysis, Volume 16, 1989 p 3-9.</w:t>
      </w:r>
    </w:p>
    <w:p w:rsidR="00214EB9" w:rsidRPr="00D35281" w:rsidRDefault="00214EB9" w:rsidP="00214EB9">
      <w:pPr>
        <w:rPr>
          <w:rFonts w:eastAsia="Calibri" w:cstheme="minorHAnsi"/>
        </w:rPr>
      </w:pPr>
      <w:r w:rsidRPr="00D35281">
        <w:rPr>
          <w:rFonts w:eastAsia="Calibri" w:cstheme="minorHAnsi"/>
        </w:rPr>
        <w:t>As such, the knowledge pyramid can be seen as one version of the theory of reasoned action.  Theories of reasoned action and planned behavior underpin the vast majority of logic models, theories of change and basic strategies of information management, decision support</w:t>
      </w:r>
      <w:r w:rsidRPr="00D35281">
        <w:rPr>
          <w:rStyle w:val="FootnoteReference"/>
          <w:rFonts w:eastAsia="Calibri" w:cstheme="minorHAnsi"/>
        </w:rPr>
        <w:footnoteReference w:id="4"/>
      </w:r>
      <w:r w:rsidRPr="00D35281">
        <w:rPr>
          <w:rFonts w:eastAsia="Calibri" w:cstheme="minorHAnsi"/>
        </w:rPr>
        <w:t xml:space="preserve"> and innovation. Typical information management plans (guided by Management Accountability Frameworks which have emphasized key processes) , based on the knowledge management theory and capacity development literature, have typically committed to specific targets </w:t>
      </w:r>
      <w:r w:rsidRPr="00D35281">
        <w:rPr>
          <w:rFonts w:eastAsia="Calibri" w:cstheme="minorHAnsi"/>
        </w:rPr>
        <w:lastRenderedPageBreak/>
        <w:t xml:space="preserve">for improved capacity for data collection, the analysis of data to produce information, and the interpretation of information as knowledge.  Wisdom, in this context, is judgment derived from applying knowledge to decisions and learning from the impacts of those decisions. </w:t>
      </w:r>
    </w:p>
    <w:p w:rsidR="00214EB9" w:rsidRPr="00D35281" w:rsidRDefault="00214EB9" w:rsidP="00214EB9">
      <w:pPr>
        <w:rPr>
          <w:rFonts w:eastAsia="Calibri" w:cstheme="minorHAnsi"/>
        </w:rPr>
      </w:pPr>
      <w:r w:rsidRPr="00D35281">
        <w:rPr>
          <w:rFonts w:eastAsia="Calibri" w:cstheme="minorHAnsi"/>
        </w:rPr>
        <w:t>In a parallel model, diffusion of innovation models such as those discussed by Rogers (1995,2003)</w:t>
      </w:r>
      <w:r w:rsidRPr="00D35281">
        <w:rPr>
          <w:rStyle w:val="FootnoteReference"/>
          <w:rFonts w:eastAsia="Calibri" w:cstheme="minorHAnsi"/>
        </w:rPr>
        <w:t xml:space="preserve"> </w:t>
      </w:r>
      <w:r w:rsidRPr="00D35281">
        <w:rPr>
          <w:rStyle w:val="FootnoteReference"/>
          <w:rFonts w:eastAsia="Calibri" w:cstheme="minorHAnsi"/>
        </w:rPr>
        <w:footnoteReference w:id="5"/>
      </w:r>
      <w:r w:rsidRPr="00D35281">
        <w:rPr>
          <w:rFonts w:eastAsia="Calibri" w:cstheme="minorHAnsi"/>
        </w:rPr>
        <w:t xml:space="preserve">  show a somewhat linear and building model of innovation. This is paralleled by psychological decision models and can be considered to include the following:  </w:t>
      </w:r>
    </w:p>
    <w:p w:rsidR="00214EB9" w:rsidRPr="00D35281" w:rsidRDefault="00214EB9" w:rsidP="00214EB9">
      <w:pPr>
        <w:pStyle w:val="ListParagraph"/>
        <w:numPr>
          <w:ilvl w:val="0"/>
          <w:numId w:val="6"/>
        </w:numPr>
        <w:spacing w:after="0" w:line="240" w:lineRule="auto"/>
        <w:rPr>
          <w:rFonts w:eastAsia="Calibri" w:cstheme="minorHAnsi"/>
        </w:rPr>
      </w:pPr>
      <w:r w:rsidRPr="00D35281">
        <w:rPr>
          <w:rFonts w:eastAsia="Calibri" w:cstheme="minorHAnsi"/>
        </w:rPr>
        <w:t>Knowledge: it occurs when an individual is exposed to the innovation's existence and gains some understanding of how it functions</w:t>
      </w:r>
    </w:p>
    <w:p w:rsidR="00214EB9" w:rsidRPr="00D35281" w:rsidRDefault="00214EB9" w:rsidP="00214EB9">
      <w:pPr>
        <w:pStyle w:val="ListParagraph"/>
        <w:numPr>
          <w:ilvl w:val="0"/>
          <w:numId w:val="6"/>
        </w:numPr>
        <w:spacing w:after="0" w:line="240" w:lineRule="auto"/>
        <w:rPr>
          <w:rFonts w:eastAsia="Calibri" w:cstheme="minorHAnsi"/>
        </w:rPr>
      </w:pPr>
      <w:r w:rsidRPr="00D35281">
        <w:rPr>
          <w:rFonts w:eastAsia="Calibri" w:cstheme="minorHAnsi"/>
        </w:rPr>
        <w:t>Persuasion: it occurs when an individual forms a favorable or unfavorable attitude toward the innovation</w:t>
      </w:r>
    </w:p>
    <w:p w:rsidR="00214EB9" w:rsidRPr="00D35281" w:rsidRDefault="00214EB9" w:rsidP="00214EB9">
      <w:pPr>
        <w:pStyle w:val="ListParagraph"/>
        <w:numPr>
          <w:ilvl w:val="0"/>
          <w:numId w:val="6"/>
        </w:numPr>
        <w:spacing w:after="0" w:line="240" w:lineRule="auto"/>
        <w:rPr>
          <w:rFonts w:eastAsia="Calibri" w:cstheme="minorHAnsi"/>
        </w:rPr>
      </w:pPr>
      <w:r w:rsidRPr="00D35281">
        <w:rPr>
          <w:rFonts w:eastAsia="Calibri" w:cstheme="minorHAnsi"/>
        </w:rPr>
        <w:t>Decision: it occurs when an individual engages in activities that lead to a choice to adopt or reject the innovation</w:t>
      </w:r>
    </w:p>
    <w:p w:rsidR="00214EB9" w:rsidRPr="00D35281" w:rsidRDefault="00214EB9" w:rsidP="00214EB9">
      <w:pPr>
        <w:pStyle w:val="ListParagraph"/>
        <w:numPr>
          <w:ilvl w:val="0"/>
          <w:numId w:val="6"/>
        </w:numPr>
        <w:spacing w:after="0" w:line="240" w:lineRule="auto"/>
        <w:rPr>
          <w:rFonts w:eastAsia="Calibri" w:cstheme="minorHAnsi"/>
        </w:rPr>
      </w:pPr>
      <w:r w:rsidRPr="00D35281">
        <w:rPr>
          <w:rFonts w:eastAsia="Calibri" w:cstheme="minorHAnsi"/>
        </w:rPr>
        <w:t>Implementation: it occurs when an individual puts an innovation into use</w:t>
      </w:r>
    </w:p>
    <w:p w:rsidR="00214EB9" w:rsidRPr="00D35281" w:rsidRDefault="00214EB9" w:rsidP="00214EB9">
      <w:pPr>
        <w:pStyle w:val="ListParagraph"/>
        <w:numPr>
          <w:ilvl w:val="0"/>
          <w:numId w:val="6"/>
        </w:numPr>
        <w:spacing w:after="0" w:line="240" w:lineRule="auto"/>
        <w:rPr>
          <w:rFonts w:eastAsia="Calibri" w:cstheme="minorHAnsi"/>
        </w:rPr>
      </w:pPr>
      <w:r w:rsidRPr="00D35281">
        <w:rPr>
          <w:rFonts w:eastAsia="Calibri" w:cstheme="minorHAnsi"/>
        </w:rPr>
        <w:t>Confirmation: it occurs when an individual seeks reinforcement of an innovation decision or reverse the previous decision due to the conflict</w:t>
      </w:r>
    </w:p>
    <w:p w:rsidR="00214EB9" w:rsidRPr="00D35281" w:rsidRDefault="00214EB9" w:rsidP="00214EB9">
      <w:pPr>
        <w:rPr>
          <w:rFonts w:eastAsia="Calibri" w:cstheme="minorHAnsi"/>
        </w:rPr>
      </w:pPr>
    </w:p>
    <w:p w:rsidR="00214EB9" w:rsidRPr="00D35281" w:rsidRDefault="00214EB9" w:rsidP="00214EB9">
      <w:pPr>
        <w:rPr>
          <w:rFonts w:eastAsia="Calibri" w:cstheme="minorHAnsi"/>
        </w:rPr>
      </w:pPr>
      <w:r w:rsidRPr="00D35281">
        <w:rPr>
          <w:rFonts w:eastAsia="Calibri" w:cstheme="minorHAnsi"/>
        </w:rPr>
        <w:t>The following chart summarizes the Rogers and Prochaska framework.</w:t>
      </w:r>
    </w:p>
    <w:tbl>
      <w:tblPr>
        <w:tblW w:w="0" w:type="auto"/>
        <w:jc w:val="center"/>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44"/>
        <w:gridCol w:w="2368"/>
      </w:tblGrid>
      <w:tr w:rsidR="00214EB9" w:rsidRPr="00D35281" w:rsidTr="005B647C">
        <w:trPr>
          <w:tblCellSpacing w:w="22" w:type="dxa"/>
          <w:jc w:val="center"/>
        </w:trPr>
        <w:tc>
          <w:tcPr>
            <w:tcW w:w="4778" w:type="dxa"/>
            <w:tcMar>
              <w:top w:w="15" w:type="dxa"/>
              <w:left w:w="15" w:type="dxa"/>
              <w:bottom w:w="15" w:type="dxa"/>
              <w:right w:w="15" w:type="dxa"/>
            </w:tcMar>
            <w:vAlign w:val="center"/>
            <w:hideMark/>
          </w:tcPr>
          <w:p w:rsidR="00214EB9" w:rsidRPr="00D35281" w:rsidRDefault="00214EB9" w:rsidP="00054743">
            <w:pPr>
              <w:jc w:val="center"/>
              <w:rPr>
                <w:rFonts w:eastAsia="Times New Roman" w:cstheme="minorHAnsi"/>
                <w:color w:val="000000"/>
                <w:sz w:val="14"/>
                <w:szCs w:val="14"/>
              </w:rPr>
            </w:pPr>
            <w:r w:rsidRPr="00D35281">
              <w:rPr>
                <w:rFonts w:eastAsia="Times New Roman" w:cstheme="minorHAnsi"/>
                <w:color w:val="000000"/>
                <w:sz w:val="14"/>
                <w:szCs w:val="14"/>
              </w:rPr>
              <w:t>Rogers' Stages of Innovation Decision Process</w:t>
            </w:r>
          </w:p>
        </w:tc>
        <w:tc>
          <w:tcPr>
            <w:tcW w:w="2302" w:type="dxa"/>
            <w:tcMar>
              <w:top w:w="15" w:type="dxa"/>
              <w:left w:w="15" w:type="dxa"/>
              <w:bottom w:w="15" w:type="dxa"/>
              <w:right w:w="15" w:type="dxa"/>
            </w:tcMar>
            <w:vAlign w:val="center"/>
            <w:hideMark/>
          </w:tcPr>
          <w:p w:rsidR="00214EB9" w:rsidRPr="00D35281" w:rsidRDefault="00214EB9" w:rsidP="00054743">
            <w:pPr>
              <w:jc w:val="center"/>
              <w:rPr>
                <w:rFonts w:eastAsia="Times New Roman" w:cstheme="minorHAnsi"/>
                <w:color w:val="000000"/>
                <w:sz w:val="14"/>
                <w:szCs w:val="14"/>
              </w:rPr>
            </w:pPr>
            <w:r w:rsidRPr="00D35281">
              <w:rPr>
                <w:rFonts w:eastAsia="Times New Roman" w:cstheme="minorHAnsi"/>
                <w:color w:val="000000"/>
                <w:sz w:val="14"/>
                <w:szCs w:val="14"/>
              </w:rPr>
              <w:t>Prochaska's Stages of Change</w:t>
            </w:r>
          </w:p>
        </w:tc>
      </w:tr>
      <w:tr w:rsidR="00214EB9" w:rsidRPr="00D35281" w:rsidTr="005B647C">
        <w:trPr>
          <w:tblCellSpacing w:w="22" w:type="dxa"/>
          <w:jc w:val="center"/>
        </w:trPr>
        <w:tc>
          <w:tcPr>
            <w:tcW w:w="4778" w:type="dxa"/>
            <w:tcMar>
              <w:top w:w="15" w:type="dxa"/>
              <w:left w:w="15" w:type="dxa"/>
              <w:bottom w:w="15" w:type="dxa"/>
              <w:right w:w="15" w:type="dxa"/>
            </w:tcMar>
            <w:vAlign w:val="center"/>
            <w:hideMark/>
          </w:tcPr>
          <w:p w:rsidR="00214EB9" w:rsidRPr="00D35281" w:rsidRDefault="00214EB9" w:rsidP="00054743">
            <w:pPr>
              <w:rPr>
                <w:rFonts w:eastAsia="Times New Roman" w:cstheme="minorHAnsi"/>
                <w:color w:val="000000"/>
                <w:sz w:val="14"/>
                <w:szCs w:val="14"/>
              </w:rPr>
            </w:pPr>
            <w:r w:rsidRPr="00D35281">
              <w:rPr>
                <w:rFonts w:eastAsia="Times New Roman" w:cstheme="minorHAnsi"/>
                <w:color w:val="000000"/>
                <w:sz w:val="14"/>
                <w:szCs w:val="14"/>
              </w:rPr>
              <w:t xml:space="preserve">Knowledge Stage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Recall of information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Comprehension of messages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Knowledge or skill for effective adoption of innovation </w:t>
            </w:r>
          </w:p>
        </w:tc>
        <w:tc>
          <w:tcPr>
            <w:tcW w:w="2302" w:type="dxa"/>
            <w:tcMar>
              <w:top w:w="15" w:type="dxa"/>
              <w:left w:w="15" w:type="dxa"/>
              <w:bottom w:w="15" w:type="dxa"/>
              <w:right w:w="15" w:type="dxa"/>
            </w:tcMar>
            <w:vAlign w:val="center"/>
            <w:hideMark/>
          </w:tcPr>
          <w:p w:rsidR="00214EB9" w:rsidRPr="00D35281" w:rsidRDefault="00214EB9" w:rsidP="00054743">
            <w:pPr>
              <w:jc w:val="center"/>
              <w:rPr>
                <w:rFonts w:eastAsia="Times New Roman" w:cstheme="minorHAnsi"/>
                <w:color w:val="000000"/>
                <w:sz w:val="14"/>
                <w:szCs w:val="14"/>
              </w:rPr>
            </w:pPr>
            <w:r w:rsidRPr="00D35281">
              <w:rPr>
                <w:rFonts w:eastAsia="Times New Roman" w:cstheme="minorHAnsi"/>
                <w:color w:val="000000"/>
                <w:sz w:val="14"/>
                <w:szCs w:val="14"/>
              </w:rPr>
              <w:t>Pre</w:t>
            </w:r>
            <w:r w:rsidR="0058456E">
              <w:rPr>
                <w:rFonts w:eastAsia="Times New Roman" w:cstheme="minorHAnsi"/>
                <w:color w:val="000000"/>
                <w:sz w:val="14"/>
                <w:szCs w:val="14"/>
              </w:rPr>
              <w:t>-</w:t>
            </w:r>
            <w:r w:rsidRPr="00D35281">
              <w:rPr>
                <w:rFonts w:eastAsia="Times New Roman" w:cstheme="minorHAnsi"/>
                <w:color w:val="000000"/>
                <w:sz w:val="14"/>
                <w:szCs w:val="14"/>
              </w:rPr>
              <w:t xml:space="preserve">contemplation </w:t>
            </w:r>
          </w:p>
        </w:tc>
      </w:tr>
      <w:tr w:rsidR="00214EB9" w:rsidRPr="00D35281" w:rsidTr="005B647C">
        <w:trPr>
          <w:tblCellSpacing w:w="22" w:type="dxa"/>
          <w:jc w:val="center"/>
        </w:trPr>
        <w:tc>
          <w:tcPr>
            <w:tcW w:w="4778" w:type="dxa"/>
            <w:tcMar>
              <w:top w:w="15" w:type="dxa"/>
              <w:left w:w="15" w:type="dxa"/>
              <w:bottom w:w="15" w:type="dxa"/>
              <w:right w:w="15" w:type="dxa"/>
            </w:tcMar>
            <w:vAlign w:val="center"/>
            <w:hideMark/>
          </w:tcPr>
          <w:p w:rsidR="00214EB9" w:rsidRPr="00D35281" w:rsidRDefault="00214EB9" w:rsidP="00054743">
            <w:pPr>
              <w:rPr>
                <w:rFonts w:eastAsia="Times New Roman" w:cstheme="minorHAnsi"/>
                <w:color w:val="000000"/>
                <w:sz w:val="14"/>
                <w:szCs w:val="14"/>
              </w:rPr>
            </w:pPr>
            <w:r w:rsidRPr="00D35281">
              <w:rPr>
                <w:rFonts w:eastAsia="Times New Roman" w:cstheme="minorHAnsi"/>
                <w:color w:val="000000"/>
                <w:sz w:val="14"/>
                <w:szCs w:val="14"/>
              </w:rPr>
              <w:t xml:space="preserve">Persuasion Stage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Liking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Discussion of new behavior with others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Acceptance of the message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Formation of positive image of the message and innovation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Support for the innovative behavior from the system </w:t>
            </w:r>
          </w:p>
        </w:tc>
        <w:tc>
          <w:tcPr>
            <w:tcW w:w="2302" w:type="dxa"/>
            <w:tcMar>
              <w:top w:w="15" w:type="dxa"/>
              <w:left w:w="15" w:type="dxa"/>
              <w:bottom w:w="15" w:type="dxa"/>
              <w:right w:w="15" w:type="dxa"/>
            </w:tcMar>
            <w:vAlign w:val="center"/>
            <w:hideMark/>
          </w:tcPr>
          <w:p w:rsidR="00214EB9" w:rsidRPr="00D35281" w:rsidRDefault="00214EB9" w:rsidP="00054743">
            <w:pPr>
              <w:jc w:val="center"/>
              <w:rPr>
                <w:rFonts w:eastAsia="Times New Roman" w:cstheme="minorHAnsi"/>
                <w:color w:val="000000"/>
                <w:sz w:val="14"/>
                <w:szCs w:val="14"/>
              </w:rPr>
            </w:pPr>
            <w:r w:rsidRPr="00D35281">
              <w:rPr>
                <w:rFonts w:eastAsia="Times New Roman" w:cstheme="minorHAnsi"/>
                <w:color w:val="000000"/>
                <w:sz w:val="14"/>
                <w:szCs w:val="14"/>
              </w:rPr>
              <w:t>Contemplation</w:t>
            </w:r>
          </w:p>
        </w:tc>
      </w:tr>
      <w:tr w:rsidR="00214EB9" w:rsidRPr="00D35281" w:rsidTr="005B647C">
        <w:trPr>
          <w:tblCellSpacing w:w="22" w:type="dxa"/>
          <w:jc w:val="center"/>
        </w:trPr>
        <w:tc>
          <w:tcPr>
            <w:tcW w:w="4778" w:type="dxa"/>
            <w:tcMar>
              <w:top w:w="15" w:type="dxa"/>
              <w:left w:w="15" w:type="dxa"/>
              <w:bottom w:w="15" w:type="dxa"/>
              <w:right w:w="15" w:type="dxa"/>
            </w:tcMar>
            <w:vAlign w:val="center"/>
            <w:hideMark/>
          </w:tcPr>
          <w:p w:rsidR="00214EB9" w:rsidRPr="00D35281" w:rsidRDefault="00214EB9" w:rsidP="00054743">
            <w:pPr>
              <w:rPr>
                <w:rFonts w:eastAsia="Times New Roman" w:cstheme="minorHAnsi"/>
                <w:color w:val="000000"/>
                <w:sz w:val="14"/>
                <w:szCs w:val="14"/>
              </w:rPr>
            </w:pPr>
            <w:r w:rsidRPr="00D35281">
              <w:rPr>
                <w:rFonts w:eastAsia="Times New Roman" w:cstheme="minorHAnsi"/>
                <w:color w:val="000000"/>
                <w:sz w:val="14"/>
                <w:szCs w:val="14"/>
              </w:rPr>
              <w:t xml:space="preserve">Decision Stage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Intention to seek additional information about the innovation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Intention to try innovation </w:t>
            </w:r>
          </w:p>
        </w:tc>
        <w:tc>
          <w:tcPr>
            <w:tcW w:w="2302" w:type="dxa"/>
            <w:tcMar>
              <w:top w:w="15" w:type="dxa"/>
              <w:left w:w="15" w:type="dxa"/>
              <w:bottom w:w="15" w:type="dxa"/>
              <w:right w:w="15" w:type="dxa"/>
            </w:tcMar>
            <w:vAlign w:val="center"/>
            <w:hideMark/>
          </w:tcPr>
          <w:p w:rsidR="00214EB9" w:rsidRPr="00D35281" w:rsidRDefault="00214EB9" w:rsidP="00054743">
            <w:pPr>
              <w:jc w:val="center"/>
              <w:rPr>
                <w:rFonts w:eastAsia="Times New Roman" w:cstheme="minorHAnsi"/>
                <w:color w:val="000000"/>
                <w:sz w:val="14"/>
                <w:szCs w:val="14"/>
              </w:rPr>
            </w:pPr>
            <w:r w:rsidRPr="00D35281">
              <w:rPr>
                <w:rFonts w:eastAsia="Times New Roman" w:cstheme="minorHAnsi"/>
                <w:color w:val="000000"/>
                <w:sz w:val="14"/>
                <w:szCs w:val="14"/>
              </w:rPr>
              <w:t>Preparation</w:t>
            </w:r>
          </w:p>
        </w:tc>
      </w:tr>
      <w:tr w:rsidR="00214EB9" w:rsidRPr="00D35281" w:rsidTr="005B647C">
        <w:trPr>
          <w:tblCellSpacing w:w="22" w:type="dxa"/>
          <w:jc w:val="center"/>
        </w:trPr>
        <w:tc>
          <w:tcPr>
            <w:tcW w:w="4778" w:type="dxa"/>
            <w:tcMar>
              <w:top w:w="15" w:type="dxa"/>
              <w:left w:w="15" w:type="dxa"/>
              <w:bottom w:w="15" w:type="dxa"/>
              <w:right w:w="15" w:type="dxa"/>
            </w:tcMar>
            <w:vAlign w:val="center"/>
            <w:hideMark/>
          </w:tcPr>
          <w:p w:rsidR="00214EB9" w:rsidRPr="00D35281" w:rsidRDefault="00214EB9" w:rsidP="00054743">
            <w:pPr>
              <w:rPr>
                <w:rFonts w:eastAsia="Times New Roman" w:cstheme="minorHAnsi"/>
                <w:color w:val="000000"/>
                <w:sz w:val="14"/>
                <w:szCs w:val="14"/>
              </w:rPr>
            </w:pPr>
            <w:r w:rsidRPr="00D35281">
              <w:rPr>
                <w:rFonts w:eastAsia="Times New Roman" w:cstheme="minorHAnsi"/>
                <w:color w:val="000000"/>
                <w:sz w:val="14"/>
                <w:szCs w:val="14"/>
              </w:rPr>
              <w:t xml:space="preserve">Implementation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lastRenderedPageBreak/>
              <w:t xml:space="preserve">Acquisition of additional info about innovation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Use of innovation on regular basis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Continued use of innovation </w:t>
            </w:r>
          </w:p>
        </w:tc>
        <w:tc>
          <w:tcPr>
            <w:tcW w:w="2302" w:type="dxa"/>
            <w:tcMar>
              <w:top w:w="15" w:type="dxa"/>
              <w:left w:w="15" w:type="dxa"/>
              <w:bottom w:w="15" w:type="dxa"/>
              <w:right w:w="15" w:type="dxa"/>
            </w:tcMar>
            <w:vAlign w:val="center"/>
            <w:hideMark/>
          </w:tcPr>
          <w:p w:rsidR="00214EB9" w:rsidRPr="00D35281" w:rsidRDefault="00214EB9" w:rsidP="00054743">
            <w:pPr>
              <w:jc w:val="center"/>
              <w:rPr>
                <w:rFonts w:eastAsia="Times New Roman" w:cstheme="minorHAnsi"/>
                <w:color w:val="000000"/>
                <w:sz w:val="14"/>
                <w:szCs w:val="14"/>
              </w:rPr>
            </w:pPr>
            <w:r w:rsidRPr="00D35281">
              <w:rPr>
                <w:rFonts w:eastAsia="Times New Roman" w:cstheme="minorHAnsi"/>
                <w:color w:val="000000"/>
                <w:sz w:val="14"/>
                <w:szCs w:val="14"/>
              </w:rPr>
              <w:lastRenderedPageBreak/>
              <w:t>Action</w:t>
            </w:r>
          </w:p>
        </w:tc>
      </w:tr>
      <w:tr w:rsidR="00214EB9" w:rsidRPr="00D35281" w:rsidTr="005B647C">
        <w:trPr>
          <w:tblCellSpacing w:w="22" w:type="dxa"/>
          <w:jc w:val="center"/>
        </w:trPr>
        <w:tc>
          <w:tcPr>
            <w:tcW w:w="4778" w:type="dxa"/>
            <w:tcMar>
              <w:top w:w="15" w:type="dxa"/>
              <w:left w:w="15" w:type="dxa"/>
              <w:bottom w:w="15" w:type="dxa"/>
              <w:right w:w="15" w:type="dxa"/>
            </w:tcMar>
            <w:vAlign w:val="center"/>
            <w:hideMark/>
          </w:tcPr>
          <w:p w:rsidR="00214EB9" w:rsidRPr="00D35281" w:rsidRDefault="00214EB9" w:rsidP="00054743">
            <w:pPr>
              <w:rPr>
                <w:rFonts w:eastAsia="Times New Roman" w:cstheme="minorHAnsi"/>
                <w:color w:val="000000"/>
                <w:sz w:val="14"/>
                <w:szCs w:val="14"/>
              </w:rPr>
            </w:pPr>
            <w:r w:rsidRPr="00D35281">
              <w:rPr>
                <w:rFonts w:eastAsia="Times New Roman" w:cstheme="minorHAnsi"/>
                <w:color w:val="000000"/>
                <w:sz w:val="14"/>
                <w:szCs w:val="14"/>
              </w:rPr>
              <w:t xml:space="preserve">Confirmation Stage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Recognition of the benefits of using the innovation.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Integration of the innovation into ongoing routine </w:t>
            </w:r>
          </w:p>
          <w:p w:rsidR="00214EB9" w:rsidRPr="00D35281" w:rsidRDefault="00214EB9" w:rsidP="00214EB9">
            <w:pPr>
              <w:numPr>
                <w:ilvl w:val="0"/>
                <w:numId w:val="9"/>
              </w:numPr>
              <w:spacing w:after="0" w:line="240" w:lineRule="auto"/>
              <w:rPr>
                <w:rFonts w:eastAsia="Times New Roman" w:cstheme="minorHAnsi"/>
                <w:color w:val="000000"/>
                <w:sz w:val="14"/>
                <w:szCs w:val="14"/>
              </w:rPr>
            </w:pPr>
            <w:r w:rsidRPr="00D35281">
              <w:rPr>
                <w:rFonts w:eastAsia="Times New Roman" w:cstheme="minorHAnsi"/>
                <w:color w:val="000000"/>
                <w:sz w:val="14"/>
                <w:szCs w:val="14"/>
              </w:rPr>
              <w:t xml:space="preserve">Promotion of innovation to others </w:t>
            </w:r>
          </w:p>
        </w:tc>
        <w:tc>
          <w:tcPr>
            <w:tcW w:w="2302" w:type="dxa"/>
            <w:tcMar>
              <w:top w:w="15" w:type="dxa"/>
              <w:left w:w="15" w:type="dxa"/>
              <w:bottom w:w="15" w:type="dxa"/>
              <w:right w:w="15" w:type="dxa"/>
            </w:tcMar>
            <w:vAlign w:val="center"/>
            <w:hideMark/>
          </w:tcPr>
          <w:p w:rsidR="00214EB9" w:rsidRPr="00D35281" w:rsidRDefault="00214EB9" w:rsidP="00054743">
            <w:pPr>
              <w:jc w:val="center"/>
              <w:rPr>
                <w:rFonts w:eastAsia="Times New Roman" w:cstheme="minorHAnsi"/>
                <w:color w:val="000000"/>
                <w:sz w:val="14"/>
                <w:szCs w:val="14"/>
              </w:rPr>
            </w:pPr>
            <w:r w:rsidRPr="00D35281">
              <w:rPr>
                <w:rFonts w:eastAsia="Times New Roman" w:cstheme="minorHAnsi"/>
                <w:color w:val="000000"/>
                <w:sz w:val="14"/>
                <w:szCs w:val="14"/>
              </w:rPr>
              <w:t>Maintenance</w:t>
            </w:r>
          </w:p>
        </w:tc>
      </w:tr>
    </w:tbl>
    <w:p w:rsidR="00214EB9" w:rsidRPr="00D35281" w:rsidRDefault="00214EB9" w:rsidP="005B647C">
      <w:pPr>
        <w:ind w:left="720"/>
        <w:jc w:val="center"/>
        <w:rPr>
          <w:rFonts w:eastAsia="Times New Roman" w:cstheme="minorHAnsi"/>
          <w:color w:val="000000"/>
          <w:sz w:val="14"/>
          <w:szCs w:val="14"/>
        </w:rPr>
      </w:pPr>
      <w:r w:rsidRPr="00D35281">
        <w:rPr>
          <w:rFonts w:eastAsia="Times New Roman" w:cstheme="minorHAnsi"/>
          <w:color w:val="000000"/>
          <w:sz w:val="14"/>
          <w:szCs w:val="14"/>
        </w:rPr>
        <w:t xml:space="preserve">Adapted from Everett Rogers, </w:t>
      </w:r>
      <w:r w:rsidRPr="00D35281">
        <w:rPr>
          <w:rFonts w:eastAsia="Times New Roman" w:cstheme="minorHAnsi"/>
          <w:i/>
          <w:iCs/>
          <w:color w:val="000000"/>
          <w:sz w:val="14"/>
          <w:szCs w:val="14"/>
        </w:rPr>
        <w:t>Diffusion of Innovations</w:t>
      </w:r>
      <w:r w:rsidRPr="00D35281">
        <w:rPr>
          <w:rFonts w:eastAsia="Times New Roman" w:cstheme="minorHAnsi"/>
          <w:color w:val="000000"/>
          <w:sz w:val="14"/>
          <w:szCs w:val="14"/>
        </w:rPr>
        <w:t>, 4</w:t>
      </w:r>
      <w:r w:rsidRPr="00D35281">
        <w:rPr>
          <w:rFonts w:eastAsia="Times New Roman" w:cstheme="minorHAnsi"/>
          <w:color w:val="000000"/>
          <w:sz w:val="14"/>
          <w:szCs w:val="14"/>
          <w:vertAlign w:val="superscript"/>
        </w:rPr>
        <w:t>th</w:t>
      </w:r>
      <w:r w:rsidRPr="00D35281">
        <w:rPr>
          <w:rFonts w:eastAsia="Times New Roman" w:cstheme="minorHAnsi"/>
          <w:color w:val="000000"/>
          <w:sz w:val="14"/>
          <w:szCs w:val="14"/>
        </w:rPr>
        <w:t xml:space="preserve"> ed. (New York: Freepress), 1995, p. 190.</w:t>
      </w:r>
    </w:p>
    <w:p w:rsidR="00214EB9" w:rsidRPr="00D35281" w:rsidRDefault="00214EB9" w:rsidP="00214EB9">
      <w:pPr>
        <w:rPr>
          <w:rFonts w:eastAsia="Calibri" w:cstheme="minorHAnsi"/>
        </w:rPr>
      </w:pPr>
      <w:r w:rsidRPr="00D35281">
        <w:rPr>
          <w:rFonts w:eastAsia="Calibri" w:cstheme="minorHAnsi"/>
        </w:rPr>
        <w:t>In this model, ‘diffusion’ is a process by which an innovation is communicated through certain channels over time among the members of a social system.</w:t>
      </w:r>
    </w:p>
    <w:p w:rsidR="00214EB9" w:rsidRPr="00D35281" w:rsidRDefault="00214EB9" w:rsidP="00214EB9">
      <w:pPr>
        <w:rPr>
          <w:rFonts w:eastAsia="Calibri" w:cstheme="minorHAnsi"/>
        </w:rPr>
      </w:pPr>
      <w:r w:rsidRPr="00D35281">
        <w:rPr>
          <w:rFonts w:eastAsia="Calibri" w:cstheme="minorHAnsi"/>
        </w:rPr>
        <w:t>The definition indicates that:</w:t>
      </w:r>
    </w:p>
    <w:p w:rsidR="00214EB9" w:rsidRPr="00D35281" w:rsidRDefault="00214EB9" w:rsidP="00214EB9">
      <w:pPr>
        <w:numPr>
          <w:ilvl w:val="0"/>
          <w:numId w:val="5"/>
        </w:numPr>
        <w:spacing w:after="0" w:line="240" w:lineRule="auto"/>
        <w:rPr>
          <w:rFonts w:eastAsia="Calibri" w:cstheme="minorHAnsi"/>
        </w:rPr>
      </w:pPr>
      <w:r w:rsidRPr="00D35281">
        <w:rPr>
          <w:rFonts w:eastAsia="Calibri" w:cstheme="minorHAnsi"/>
        </w:rPr>
        <w:t>The adopters can be an individual, groups, or organization at different levels of social system.</w:t>
      </w:r>
    </w:p>
    <w:p w:rsidR="00214EB9" w:rsidRPr="00D35281" w:rsidRDefault="00214EB9" w:rsidP="00214EB9">
      <w:pPr>
        <w:numPr>
          <w:ilvl w:val="0"/>
          <w:numId w:val="5"/>
        </w:numPr>
        <w:spacing w:after="0" w:line="240" w:lineRule="auto"/>
        <w:rPr>
          <w:rFonts w:eastAsia="Calibri" w:cstheme="minorHAnsi"/>
        </w:rPr>
      </w:pPr>
      <w:r w:rsidRPr="00D35281">
        <w:rPr>
          <w:rFonts w:eastAsia="Calibri" w:cstheme="minorHAnsi"/>
        </w:rPr>
        <w:t>The target is innovation</w:t>
      </w:r>
    </w:p>
    <w:p w:rsidR="00214EB9" w:rsidRPr="00D35281" w:rsidRDefault="00214EB9" w:rsidP="00214EB9">
      <w:pPr>
        <w:numPr>
          <w:ilvl w:val="0"/>
          <w:numId w:val="5"/>
        </w:numPr>
        <w:spacing w:after="0" w:line="240" w:lineRule="auto"/>
        <w:rPr>
          <w:rFonts w:eastAsia="Calibri" w:cstheme="minorHAnsi"/>
        </w:rPr>
      </w:pPr>
      <w:r w:rsidRPr="00D35281">
        <w:rPr>
          <w:rFonts w:eastAsia="Calibri" w:cstheme="minorHAnsi"/>
        </w:rPr>
        <w:t>The process is communication</w:t>
      </w:r>
    </w:p>
    <w:p w:rsidR="00214EB9" w:rsidRPr="00D35281" w:rsidRDefault="00214EB9" w:rsidP="00214EB9">
      <w:pPr>
        <w:numPr>
          <w:ilvl w:val="0"/>
          <w:numId w:val="5"/>
        </w:numPr>
        <w:spacing w:after="0" w:line="240" w:lineRule="auto"/>
        <w:rPr>
          <w:rFonts w:eastAsia="Calibri" w:cstheme="minorHAnsi"/>
        </w:rPr>
      </w:pPr>
      <w:r w:rsidRPr="00D35281">
        <w:rPr>
          <w:rFonts w:eastAsia="Calibri" w:cstheme="minorHAnsi"/>
        </w:rPr>
        <w:t>The means is communication channels</w:t>
      </w:r>
    </w:p>
    <w:p w:rsidR="00214EB9" w:rsidRPr="00D35281" w:rsidRDefault="00214EB9" w:rsidP="00214EB9">
      <w:pPr>
        <w:numPr>
          <w:ilvl w:val="0"/>
          <w:numId w:val="5"/>
        </w:numPr>
        <w:spacing w:after="0" w:line="240" w:lineRule="auto"/>
        <w:rPr>
          <w:rFonts w:eastAsia="Calibri" w:cstheme="minorHAnsi"/>
        </w:rPr>
      </w:pPr>
      <w:r w:rsidRPr="00D35281">
        <w:rPr>
          <w:rFonts w:eastAsia="Calibri" w:cstheme="minorHAnsi"/>
        </w:rPr>
        <w:t>The context of innovation is a social system</w:t>
      </w:r>
    </w:p>
    <w:p w:rsidR="00214EB9" w:rsidRPr="00D35281" w:rsidRDefault="00214EB9" w:rsidP="00214EB9">
      <w:pPr>
        <w:numPr>
          <w:ilvl w:val="0"/>
          <w:numId w:val="5"/>
        </w:numPr>
        <w:spacing w:after="0" w:line="240" w:lineRule="auto"/>
        <w:rPr>
          <w:rFonts w:eastAsia="Calibri" w:cstheme="minorHAnsi"/>
        </w:rPr>
      </w:pPr>
      <w:r w:rsidRPr="00D35281">
        <w:rPr>
          <w:rFonts w:eastAsia="Calibri" w:cstheme="minorHAnsi"/>
        </w:rPr>
        <w:t>It is a change over time.</w:t>
      </w:r>
    </w:p>
    <w:p w:rsidR="00214EB9" w:rsidRPr="00D35281" w:rsidRDefault="00214EB9" w:rsidP="00214EB9">
      <w:pPr>
        <w:rPr>
          <w:rFonts w:eastAsia="Calibri" w:cstheme="minorHAnsi"/>
        </w:rPr>
      </w:pPr>
    </w:p>
    <w:p w:rsidR="00214EB9" w:rsidRPr="00D35281" w:rsidRDefault="00214EB9" w:rsidP="00214EB9">
      <w:pPr>
        <w:rPr>
          <w:rFonts w:eastAsia="Calibri" w:cstheme="minorHAnsi"/>
        </w:rPr>
      </w:pPr>
      <w:r w:rsidRPr="00D35281">
        <w:rPr>
          <w:rFonts w:eastAsia="Calibri" w:cstheme="minorHAnsi"/>
        </w:rPr>
        <w:t xml:space="preserve">According to Rogers (1995), there are five major factors affecting the </w:t>
      </w:r>
      <w:r w:rsidRPr="00D35281">
        <w:rPr>
          <w:rFonts w:eastAsia="Calibri" w:cstheme="minorHAnsi"/>
          <w:i/>
          <w:iCs/>
        </w:rPr>
        <w:t xml:space="preserve">rate </w:t>
      </w:r>
      <w:r w:rsidRPr="00D35281">
        <w:rPr>
          <w:rFonts w:eastAsia="Calibri" w:cstheme="minorHAnsi"/>
        </w:rPr>
        <w:t>of adoption:</w:t>
      </w:r>
    </w:p>
    <w:p w:rsidR="003A5D3A" w:rsidRDefault="00214EB9" w:rsidP="00214EB9">
      <w:pPr>
        <w:pStyle w:val="ListParagraph"/>
        <w:numPr>
          <w:ilvl w:val="0"/>
          <w:numId w:val="7"/>
        </w:numPr>
        <w:spacing w:after="0" w:line="240" w:lineRule="auto"/>
        <w:rPr>
          <w:rFonts w:eastAsia="Calibri" w:cstheme="minorHAnsi"/>
        </w:rPr>
      </w:pPr>
      <w:r w:rsidRPr="00D35281">
        <w:rPr>
          <w:rFonts w:eastAsia="Calibri" w:cstheme="minorHAnsi"/>
        </w:rPr>
        <w:t>Perceived Attributes of Innovation</w:t>
      </w:r>
    </w:p>
    <w:p w:rsidR="003A5D3A" w:rsidRDefault="003A5D3A" w:rsidP="003A5D3A">
      <w:pPr>
        <w:pStyle w:val="ListParagraph"/>
        <w:spacing w:after="0" w:line="240" w:lineRule="auto"/>
        <w:rPr>
          <w:rFonts w:eastAsia="Calibri" w:cstheme="minorHAnsi"/>
        </w:rPr>
      </w:pPr>
    </w:p>
    <w:p w:rsidR="00214EB9" w:rsidRPr="00D35281" w:rsidRDefault="00214EB9" w:rsidP="003A5D3A">
      <w:pPr>
        <w:pStyle w:val="ListParagraph"/>
        <w:spacing w:after="0" w:line="240" w:lineRule="auto"/>
        <w:rPr>
          <w:rFonts w:eastAsia="Calibri" w:cstheme="minorHAnsi"/>
        </w:rPr>
      </w:pPr>
      <w:r w:rsidRPr="00D35281">
        <w:rPr>
          <w:rFonts w:eastAsia="Calibri" w:cstheme="minorHAnsi"/>
        </w:rPr>
        <w:t>An innovation is a</w:t>
      </w:r>
      <w:r w:rsidR="005B647C">
        <w:rPr>
          <w:rFonts w:eastAsia="Calibri" w:cstheme="minorHAnsi"/>
        </w:rPr>
        <w:t>n</w:t>
      </w:r>
      <w:r w:rsidRPr="00D35281">
        <w:rPr>
          <w:rFonts w:eastAsia="Calibri" w:cstheme="minorHAnsi"/>
        </w:rPr>
        <w:t xml:space="preserve"> idea, practice or object that is perceived as new by an individual or other unit of adoption. How the adopter perceived characteristics of the innovation has impacts on the process of adoption.</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Relative advantage: the degree to which an innovation is perceived as better than the idea it supersedes. The underlying principle is that the greater the perceived relative advantage of an innovation, the more raid its rate of adoption</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Compatibility: the degree to which an innovation is perceived as being consistent with the existing values, past experiences, and needs of potential adopters</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Complexity: the degree to which an innovation is perceived as difficult to understand and use</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Trialability: the degree to which an innovation may be experimented with on a limited basis. If an innovation is trialable, it results in less uncertainty for adoption</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Observability: the degree to which the results of an innovation are visible to others. The easier it is for individuals to see the results of an innovation, the more likely they are to adopt.</w:t>
      </w:r>
    </w:p>
    <w:p w:rsidR="00214EB9" w:rsidRPr="00D35281" w:rsidRDefault="00214EB9" w:rsidP="00214EB9">
      <w:pPr>
        <w:pStyle w:val="ListParagraph"/>
        <w:ind w:left="1080"/>
        <w:rPr>
          <w:rFonts w:eastAsia="Calibri" w:cstheme="minorHAnsi"/>
        </w:rPr>
      </w:pPr>
    </w:p>
    <w:p w:rsidR="00214EB9" w:rsidRDefault="00214EB9" w:rsidP="00214EB9">
      <w:pPr>
        <w:pStyle w:val="ListParagraph"/>
        <w:numPr>
          <w:ilvl w:val="0"/>
          <w:numId w:val="7"/>
        </w:numPr>
        <w:spacing w:after="0" w:line="240" w:lineRule="auto"/>
        <w:rPr>
          <w:rFonts w:eastAsia="Calibri" w:cstheme="minorHAnsi"/>
        </w:rPr>
      </w:pPr>
      <w:r w:rsidRPr="00D35281">
        <w:rPr>
          <w:rFonts w:eastAsia="Calibri" w:cstheme="minorHAnsi"/>
        </w:rPr>
        <w:lastRenderedPageBreak/>
        <w:t>Type of Innovation-Decision</w:t>
      </w:r>
    </w:p>
    <w:p w:rsidR="003A5D3A" w:rsidRPr="00D35281" w:rsidRDefault="003A5D3A" w:rsidP="003A5D3A">
      <w:pPr>
        <w:pStyle w:val="ListParagraph"/>
        <w:spacing w:after="0" w:line="240" w:lineRule="auto"/>
        <w:rPr>
          <w:rFonts w:eastAsia="Calibri" w:cstheme="minorHAnsi"/>
        </w:rPr>
      </w:pP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Optional: an individual flexibility</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Collective: a balance between maximum efficiency and freedom</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Authority: it yields the high rate of adoption, but produces high resistance.</w:t>
      </w:r>
    </w:p>
    <w:p w:rsidR="00214EB9" w:rsidRPr="00D35281" w:rsidRDefault="00214EB9" w:rsidP="00214EB9">
      <w:pPr>
        <w:pStyle w:val="ListParagraph"/>
        <w:ind w:left="1080"/>
        <w:rPr>
          <w:rFonts w:eastAsia="Calibri" w:cstheme="minorHAnsi"/>
        </w:rPr>
      </w:pPr>
    </w:p>
    <w:p w:rsidR="00214EB9" w:rsidRDefault="00214EB9" w:rsidP="00214EB9">
      <w:pPr>
        <w:pStyle w:val="ListParagraph"/>
        <w:numPr>
          <w:ilvl w:val="0"/>
          <w:numId w:val="7"/>
        </w:numPr>
        <w:spacing w:after="0" w:line="240" w:lineRule="auto"/>
        <w:rPr>
          <w:rFonts w:eastAsia="Calibri" w:cstheme="minorHAnsi"/>
        </w:rPr>
      </w:pPr>
      <w:r w:rsidRPr="00D35281">
        <w:rPr>
          <w:rFonts w:eastAsia="Calibri" w:cstheme="minorHAnsi"/>
        </w:rPr>
        <w:t>Communication Channels</w:t>
      </w:r>
    </w:p>
    <w:p w:rsidR="003A5D3A" w:rsidRPr="00D35281" w:rsidRDefault="003A5D3A" w:rsidP="003A5D3A">
      <w:pPr>
        <w:pStyle w:val="ListParagraph"/>
        <w:spacing w:after="0" w:line="240" w:lineRule="auto"/>
        <w:rPr>
          <w:rFonts w:eastAsia="Calibri" w:cstheme="minorHAnsi"/>
        </w:rPr>
      </w:pP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Mass Media</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 xml:space="preserve">Interpersonal </w:t>
      </w:r>
    </w:p>
    <w:p w:rsidR="00214EB9" w:rsidRPr="00D35281" w:rsidRDefault="00214EB9" w:rsidP="00214EB9">
      <w:pPr>
        <w:pStyle w:val="ListParagraph"/>
        <w:ind w:left="1080"/>
        <w:rPr>
          <w:rFonts w:eastAsia="Calibri" w:cstheme="minorHAnsi"/>
        </w:rPr>
      </w:pPr>
    </w:p>
    <w:p w:rsidR="003A5D3A" w:rsidRDefault="00214EB9" w:rsidP="00214EB9">
      <w:pPr>
        <w:pStyle w:val="ListParagraph"/>
        <w:numPr>
          <w:ilvl w:val="0"/>
          <w:numId w:val="7"/>
        </w:numPr>
        <w:spacing w:after="0" w:line="240" w:lineRule="auto"/>
        <w:rPr>
          <w:rFonts w:eastAsia="Calibri" w:cstheme="minorHAnsi"/>
        </w:rPr>
      </w:pPr>
      <w:r w:rsidRPr="00D35281">
        <w:rPr>
          <w:rFonts w:eastAsia="Calibri" w:cstheme="minorHAnsi"/>
        </w:rPr>
        <w:t>Nature of the Social System</w:t>
      </w:r>
    </w:p>
    <w:p w:rsidR="00214EB9" w:rsidRPr="00D35281" w:rsidRDefault="00214EB9" w:rsidP="003A5D3A">
      <w:pPr>
        <w:pStyle w:val="ListParagraph"/>
        <w:spacing w:after="0" w:line="240" w:lineRule="auto"/>
        <w:rPr>
          <w:rFonts w:eastAsia="Calibri" w:cstheme="minorHAnsi"/>
        </w:rPr>
      </w:pPr>
      <w:r w:rsidRPr="00D35281">
        <w:rPr>
          <w:rFonts w:eastAsia="Calibri" w:cstheme="minorHAnsi"/>
        </w:rPr>
        <w:br/>
        <w:t>A social system is defined as a set of interrelated units that are engaged in joint problem solving to accomplish a common goal. The members or units of a social system may be individuals, informal groups, organizations, and or subsystems. All members cooperate at least to the extent of seeking to solve a common problem in order to reach a mutual goal: Sharing of a common objective binds the system together. The social structure affects the innovation's diffusion in several ways:</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Social structure and communication structure: patterned arrangements of the units in a system</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System norms: norms are established behavior patterns for the members of a social system</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Roles of opinion leaders and change agents: opinion leadership is the degree to which an individual is able to influence other individual's attitudes or overt behavior informally in a desired way with relative frequency</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Types of innovation decisions: optional innovation-decision, collective innovation -decision, authority innovation-decision; contingent innovation-decision</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The consequences of innovation: desirable vs. undesirable, direct vs. indirect, anticipated vs. unanticipated</w:t>
      </w:r>
    </w:p>
    <w:p w:rsidR="00214EB9" w:rsidRPr="00D35281" w:rsidRDefault="00214EB9" w:rsidP="00214EB9">
      <w:pPr>
        <w:pStyle w:val="ListParagraph"/>
        <w:ind w:left="1080"/>
        <w:rPr>
          <w:rFonts w:eastAsia="Calibri" w:cstheme="minorHAnsi"/>
        </w:rPr>
      </w:pPr>
    </w:p>
    <w:p w:rsidR="00214EB9" w:rsidRPr="00D35281" w:rsidRDefault="00214EB9" w:rsidP="00214EB9">
      <w:pPr>
        <w:pStyle w:val="ListParagraph"/>
        <w:numPr>
          <w:ilvl w:val="0"/>
          <w:numId w:val="7"/>
        </w:numPr>
        <w:spacing w:after="0" w:line="240" w:lineRule="auto"/>
        <w:rPr>
          <w:rFonts w:eastAsia="Calibri" w:cstheme="minorHAnsi"/>
        </w:rPr>
      </w:pPr>
      <w:r w:rsidRPr="00D35281">
        <w:rPr>
          <w:rFonts w:eastAsia="Calibri" w:cstheme="minorHAnsi"/>
        </w:rPr>
        <w:t>Extent of Change Agent's Promotion</w:t>
      </w:r>
    </w:p>
    <w:p w:rsidR="00214EB9" w:rsidRPr="00D35281" w:rsidRDefault="00214EB9" w:rsidP="00214EB9">
      <w:pPr>
        <w:rPr>
          <w:rFonts w:eastAsia="Calibri" w:cstheme="minorHAnsi"/>
        </w:rPr>
      </w:pPr>
    </w:p>
    <w:p w:rsidR="00214EB9" w:rsidRPr="00D35281" w:rsidRDefault="00214EB9" w:rsidP="00214EB9">
      <w:pPr>
        <w:rPr>
          <w:rFonts w:eastAsia="Calibri" w:cstheme="minorHAnsi"/>
        </w:rPr>
      </w:pPr>
      <w:r w:rsidRPr="00D35281">
        <w:rPr>
          <w:rFonts w:eastAsia="Calibri" w:cstheme="minorHAnsi"/>
        </w:rPr>
        <w:t>Finally, and perhaps most famously, Rogers suggests that innovators can be categorized by different types as follows:</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Innovators (risk takers)</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Early adopters (hedgers)</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Early majority (waiters)</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Late majority (skeptics)</w:t>
      </w:r>
    </w:p>
    <w:p w:rsidR="00214EB9" w:rsidRPr="00D35281" w:rsidRDefault="00214EB9" w:rsidP="00214EB9">
      <w:pPr>
        <w:pStyle w:val="ListParagraph"/>
        <w:numPr>
          <w:ilvl w:val="0"/>
          <w:numId w:val="8"/>
        </w:numPr>
        <w:spacing w:after="0" w:line="240" w:lineRule="auto"/>
        <w:rPr>
          <w:rFonts w:eastAsia="Calibri" w:cstheme="minorHAnsi"/>
        </w:rPr>
      </w:pPr>
      <w:r w:rsidRPr="00D35281">
        <w:rPr>
          <w:rFonts w:eastAsia="Calibri" w:cstheme="minorHAnsi"/>
        </w:rPr>
        <w:t>Late adopters (slowpokes)</w:t>
      </w:r>
    </w:p>
    <w:p w:rsidR="00214EB9" w:rsidRPr="00D35281" w:rsidRDefault="00214EB9" w:rsidP="00214EB9">
      <w:pPr>
        <w:rPr>
          <w:rFonts w:eastAsia="Calibri" w:cstheme="minorHAnsi"/>
        </w:rPr>
      </w:pPr>
    </w:p>
    <w:p w:rsidR="00214EB9" w:rsidRPr="00D35281" w:rsidRDefault="00214EB9" w:rsidP="00214EB9">
      <w:pPr>
        <w:rPr>
          <w:rFonts w:eastAsia="Calibri" w:cstheme="minorHAnsi"/>
        </w:rPr>
      </w:pPr>
      <w:r w:rsidRPr="00D35281">
        <w:rPr>
          <w:rFonts w:eastAsia="Calibri" w:cstheme="minorHAnsi"/>
        </w:rPr>
        <w:lastRenderedPageBreak/>
        <w:t>Later analysts such as Moore (Crossing the Chasm - 2002) suggest that in fact, when promoting an innovation it is useful to go beyond the innovators and early adopters and to appeal to the early majority if an innovation is to ‘stick’. In fact Moore suggests that the criteria used to adopt an innovation by the early majority are fundamentally different than innovators and early adopters and that one needs to appeal to their sense of practicality (will this save me time and/or money?) rather than to an innovation’s ‘novelty’ – which would appeal to innovators and early adopters.  This can have a profound effect on strategy.</w:t>
      </w:r>
      <w:r w:rsidRPr="00D35281">
        <w:rPr>
          <w:rStyle w:val="FootnoteReference"/>
          <w:rFonts w:eastAsia="Calibri" w:cstheme="minorHAnsi"/>
        </w:rPr>
        <w:footnoteReference w:id="6"/>
      </w:r>
      <w:r w:rsidRPr="00D35281">
        <w:rPr>
          <w:rFonts w:eastAsia="Calibri" w:cstheme="minorHAnsi"/>
        </w:rPr>
        <w:t xml:space="preserve">  </w:t>
      </w:r>
    </w:p>
    <w:p w:rsidR="00214EB9" w:rsidRPr="00D35281" w:rsidRDefault="00214EB9" w:rsidP="00214EB9">
      <w:pPr>
        <w:rPr>
          <w:rFonts w:eastAsia="Calibri" w:cstheme="minorHAnsi"/>
        </w:rPr>
      </w:pPr>
      <w:r w:rsidRPr="00D35281">
        <w:rPr>
          <w:rFonts w:eastAsia="Calibri" w:cstheme="minorHAnsi"/>
        </w:rPr>
        <w:t xml:space="preserve">More recent definitions of success for information management planning is to have the evidence inform the decision-making (EIDM).  This is the process of distilling and disseminating the best available evidence from research, practice and experience and using that evidence to </w:t>
      </w:r>
      <w:r w:rsidR="0012150D">
        <w:rPr>
          <w:rFonts w:eastAsia="Calibri" w:cstheme="minorHAnsi"/>
        </w:rPr>
        <w:t>inform and improve</w:t>
      </w:r>
      <w:r w:rsidRPr="00D35281">
        <w:rPr>
          <w:rFonts w:eastAsia="Calibri" w:cstheme="minorHAnsi"/>
        </w:rPr>
        <w:t xml:space="preserve"> policy and practice.  Simply put, it means finding, using and sharing what will work in public policy contexts.  </w:t>
      </w:r>
    </w:p>
    <w:p w:rsidR="00214EB9" w:rsidRPr="00D35281" w:rsidRDefault="00214EB9" w:rsidP="00214EB9">
      <w:pPr>
        <w:rPr>
          <w:rFonts w:eastAsia="Calibri" w:cstheme="minorHAnsi"/>
        </w:rPr>
      </w:pPr>
      <w:r w:rsidRPr="00D35281">
        <w:rPr>
          <w:rFonts w:eastAsia="Calibri" w:cstheme="minorHAnsi"/>
        </w:rPr>
        <w:t>Recent thinking has gone further to show that evidence based decision making is a two-way street featuring evidence generation and evidence use in an iterative process between the two. The following diagram was accessed from docu</w:t>
      </w:r>
      <w:r w:rsidR="003A5D3A">
        <w:rPr>
          <w:rFonts w:eastAsia="Calibri" w:cstheme="minorHAnsi"/>
        </w:rPr>
        <w:t>ments provided in February 2017:</w:t>
      </w:r>
    </w:p>
    <w:p w:rsidR="00214EB9" w:rsidRPr="00D35281" w:rsidRDefault="00214EB9" w:rsidP="00214EB9">
      <w:pPr>
        <w:rPr>
          <w:rFonts w:eastAsia="Calibri" w:cstheme="minorHAnsi"/>
        </w:rPr>
      </w:pPr>
      <w:r w:rsidRPr="00D35281">
        <w:rPr>
          <w:rFonts w:eastAsia="Calibri" w:cstheme="minorHAnsi"/>
          <w:noProof/>
          <w:lang w:val="en-CA" w:eastAsia="en-CA"/>
        </w:rPr>
        <w:drawing>
          <wp:anchor distT="0" distB="0" distL="114300" distR="114300" simplePos="0" relativeHeight="251681792" behindDoc="0" locked="0" layoutInCell="1" allowOverlap="1" wp14:anchorId="7C84B3E2" wp14:editId="09F5D44C">
            <wp:simplePos x="0" y="0"/>
            <wp:positionH relativeFrom="column">
              <wp:posOffset>459740</wp:posOffset>
            </wp:positionH>
            <wp:positionV relativeFrom="paragraph">
              <wp:posOffset>267335</wp:posOffset>
            </wp:positionV>
            <wp:extent cx="5042535" cy="588010"/>
            <wp:effectExtent l="0" t="0" r="0" b="0"/>
            <wp:wrapTopAndBottom/>
            <wp:docPr id="19" name="Picture 19" descr="“The generation of evidence is at the heart of evaluation, and the use of evidence is at the heart of good governance.”   Carolyn Heider, World Bank Independent Evaluation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generation of evidence is at the heart of evaluation, and the use of evidence is at the heart of good governance.”   Carolyn Heider, World Bank Independent Evaluation Group"/>
                    <pic:cNvPicPr>
                      <a:picLocks noChangeAspect="1" noChangeArrowheads="1"/>
                    </pic:cNvPicPr>
                  </pic:nvPicPr>
                  <pic:blipFill>
                    <a:blip r:embed="rId10" cstate="print"/>
                    <a:srcRect/>
                    <a:stretch>
                      <a:fillRect/>
                    </a:stretch>
                  </pic:blipFill>
                  <pic:spPr bwMode="auto">
                    <a:xfrm>
                      <a:off x="0" y="0"/>
                      <a:ext cx="5042535" cy="588010"/>
                    </a:xfrm>
                    <a:prstGeom prst="rect">
                      <a:avLst/>
                    </a:prstGeom>
                    <a:noFill/>
                  </pic:spPr>
                </pic:pic>
              </a:graphicData>
            </a:graphic>
          </wp:anchor>
        </w:drawing>
      </w:r>
      <w:r w:rsidRPr="00D35281">
        <w:rPr>
          <w:rFonts w:eastAsia="Calibri" w:cstheme="minorHAnsi"/>
          <w:noProof/>
          <w:lang w:val="en-CA" w:eastAsia="en-CA"/>
        </w:rPr>
        <w:drawing>
          <wp:anchor distT="0" distB="0" distL="114300" distR="114300" simplePos="0" relativeHeight="251680768" behindDoc="0" locked="0" layoutInCell="1" allowOverlap="1" wp14:anchorId="36DE305E" wp14:editId="04F247F0">
            <wp:simplePos x="0" y="0"/>
            <wp:positionH relativeFrom="column">
              <wp:posOffset>1943100</wp:posOffset>
            </wp:positionH>
            <wp:positionV relativeFrom="paragraph">
              <wp:posOffset>1854200</wp:posOffset>
            </wp:positionV>
            <wp:extent cx="1905000" cy="495935"/>
            <wp:effectExtent l="0" t="0" r="0" b="0"/>
            <wp:wrapNone/>
            <wp:docPr id="20" name="Picture 20" descr="Iterativ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terative Process"/>
                    <pic:cNvPicPr>
                      <a:picLocks noChangeAspect="1" noChangeArrowheads="1"/>
                    </pic:cNvPicPr>
                  </pic:nvPicPr>
                  <pic:blipFill>
                    <a:blip r:embed="rId11" cstate="print"/>
                    <a:srcRect/>
                    <a:stretch>
                      <a:fillRect/>
                    </a:stretch>
                  </pic:blipFill>
                  <pic:spPr bwMode="auto">
                    <a:xfrm>
                      <a:off x="0" y="0"/>
                      <a:ext cx="1905000" cy="495935"/>
                    </a:xfrm>
                    <a:prstGeom prst="rect">
                      <a:avLst/>
                    </a:prstGeom>
                    <a:noFill/>
                  </pic:spPr>
                </pic:pic>
              </a:graphicData>
            </a:graphic>
          </wp:anchor>
        </w:drawing>
      </w:r>
      <w:r w:rsidRPr="00D35281">
        <w:rPr>
          <w:rFonts w:eastAsia="Calibri" w:cstheme="minorHAnsi"/>
          <w:noProof/>
          <w:lang w:val="en-CA" w:eastAsia="en-CA"/>
        </w:rPr>
        <w:drawing>
          <wp:anchor distT="0" distB="0" distL="114300" distR="114300" simplePos="0" relativeHeight="251678720" behindDoc="0" locked="0" layoutInCell="1" allowOverlap="1" wp14:anchorId="5DBE8818" wp14:editId="7177EC9D">
            <wp:simplePos x="0" y="0"/>
            <wp:positionH relativeFrom="column">
              <wp:posOffset>457200</wp:posOffset>
            </wp:positionH>
            <wp:positionV relativeFrom="paragraph">
              <wp:posOffset>825500</wp:posOffset>
            </wp:positionV>
            <wp:extent cx="2550795" cy="1619250"/>
            <wp:effectExtent l="0" t="0" r="0" b="0"/>
            <wp:wrapTopAndBottom/>
            <wp:docPr id="7" name="Picture 7" descr="&#10;Evidence Generation:&#10;&#10;• Collect data&#10;• Analyse trends &amp; themes&#10;• Share informa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Evidence Generation:&#10;&#10;• Collect data&#10;• Analyse trends &amp; themes&#10;• Share information&#10;&#10;"/>
                    <pic:cNvPicPr>
                      <a:picLocks noChangeAspect="1" noChangeArrowheads="1"/>
                    </pic:cNvPicPr>
                  </pic:nvPicPr>
                  <pic:blipFill>
                    <a:blip r:embed="rId12" cstate="print"/>
                    <a:srcRect/>
                    <a:stretch>
                      <a:fillRect/>
                    </a:stretch>
                  </pic:blipFill>
                  <pic:spPr bwMode="auto">
                    <a:xfrm>
                      <a:off x="0" y="0"/>
                      <a:ext cx="2550795" cy="1619250"/>
                    </a:xfrm>
                    <a:prstGeom prst="rect">
                      <a:avLst/>
                    </a:prstGeom>
                    <a:noFill/>
                  </pic:spPr>
                </pic:pic>
              </a:graphicData>
            </a:graphic>
          </wp:anchor>
        </w:drawing>
      </w:r>
      <w:r w:rsidRPr="00D35281">
        <w:rPr>
          <w:rFonts w:eastAsia="Calibri" w:cstheme="minorHAnsi"/>
          <w:noProof/>
          <w:lang w:val="en-CA" w:eastAsia="en-CA"/>
        </w:rPr>
        <w:drawing>
          <wp:anchor distT="0" distB="0" distL="114300" distR="114300" simplePos="0" relativeHeight="251679744" behindDoc="0" locked="0" layoutInCell="1" allowOverlap="1" wp14:anchorId="20BD3275" wp14:editId="154569E1">
            <wp:simplePos x="0" y="0"/>
            <wp:positionH relativeFrom="column">
              <wp:posOffset>3086100</wp:posOffset>
            </wp:positionH>
            <wp:positionV relativeFrom="paragraph">
              <wp:posOffset>825500</wp:posOffset>
            </wp:positionV>
            <wp:extent cx="2430780" cy="1609725"/>
            <wp:effectExtent l="0" t="0" r="0" b="0"/>
            <wp:wrapTopAndBottom/>
            <wp:docPr id="21" name="Picture 21" descr="&#10;Evidence Use:&#10;&#10;• Access relevant knowledge&#10;• Interpret meaning in context&#10;• Apply as evidence for decis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Evidence Use:&#10;&#10;• Access relevant knowledge&#10;• Interpret meaning in context&#10;• Apply as evidence for decisions&#10;"/>
                    <pic:cNvPicPr>
                      <a:picLocks noChangeAspect="1" noChangeArrowheads="1"/>
                    </pic:cNvPicPr>
                  </pic:nvPicPr>
                  <pic:blipFill>
                    <a:blip r:embed="rId13" cstate="print"/>
                    <a:srcRect/>
                    <a:stretch>
                      <a:fillRect/>
                    </a:stretch>
                  </pic:blipFill>
                  <pic:spPr bwMode="auto">
                    <a:xfrm>
                      <a:off x="0" y="0"/>
                      <a:ext cx="2430780" cy="1609725"/>
                    </a:xfrm>
                    <a:prstGeom prst="rect">
                      <a:avLst/>
                    </a:prstGeom>
                    <a:noFill/>
                  </pic:spPr>
                </pic:pic>
              </a:graphicData>
            </a:graphic>
          </wp:anchor>
        </w:drawing>
      </w:r>
    </w:p>
    <w:p w:rsidR="00214EB9" w:rsidRPr="00D35281" w:rsidRDefault="00214EB9" w:rsidP="00214EB9">
      <w:pPr>
        <w:jc w:val="right"/>
        <w:rPr>
          <w:rFonts w:eastAsia="Calibri" w:cstheme="minorHAnsi"/>
          <w:sz w:val="16"/>
          <w:szCs w:val="16"/>
        </w:rPr>
      </w:pPr>
    </w:p>
    <w:p w:rsidR="00214EB9" w:rsidRPr="00D35281" w:rsidRDefault="00214EB9" w:rsidP="00AE1ABC">
      <w:pPr>
        <w:spacing w:after="0" w:line="240" w:lineRule="auto"/>
        <w:rPr>
          <w:rFonts w:eastAsia="Calibri" w:cstheme="minorHAnsi"/>
          <w:sz w:val="16"/>
          <w:szCs w:val="16"/>
        </w:rPr>
      </w:pPr>
      <w:r w:rsidRPr="00D35281">
        <w:rPr>
          <w:rFonts w:eastAsia="Calibri" w:cstheme="minorHAnsi"/>
          <w:sz w:val="16"/>
          <w:szCs w:val="16"/>
        </w:rPr>
        <w:t>Source:  FNIHB Atlantic Evidence Management Strategic Plan</w:t>
      </w:r>
    </w:p>
    <w:p w:rsidR="00214EB9" w:rsidRPr="00D35281" w:rsidRDefault="00214EB9" w:rsidP="00AE1ABC">
      <w:pPr>
        <w:spacing w:after="0" w:line="240" w:lineRule="auto"/>
        <w:rPr>
          <w:rFonts w:eastAsia="Calibri" w:cstheme="minorHAnsi"/>
          <w:sz w:val="16"/>
          <w:szCs w:val="16"/>
        </w:rPr>
      </w:pPr>
      <w:r w:rsidRPr="00D35281">
        <w:rPr>
          <w:rFonts w:eastAsia="Calibri" w:cstheme="minorHAnsi"/>
          <w:sz w:val="16"/>
          <w:szCs w:val="16"/>
        </w:rPr>
        <w:t xml:space="preserve">Derived from Cousins and Bourgeois </w:t>
      </w:r>
      <w:r w:rsidRPr="00D35281">
        <w:rPr>
          <w:rFonts w:eastAsia="Calibri" w:cstheme="minorHAnsi"/>
          <w:i/>
          <w:sz w:val="16"/>
          <w:szCs w:val="16"/>
        </w:rPr>
        <w:t>Capacity to Develop and To Use Evaluation,</w:t>
      </w:r>
      <w:r w:rsidRPr="00D35281">
        <w:rPr>
          <w:rFonts w:eastAsia="Calibri" w:cstheme="minorHAnsi"/>
          <w:sz w:val="16"/>
          <w:szCs w:val="16"/>
        </w:rPr>
        <w:t xml:space="preserve"> NDE</w:t>
      </w:r>
    </w:p>
    <w:p w:rsidR="00214EB9" w:rsidRPr="00D35281" w:rsidRDefault="00214EB9" w:rsidP="00214EB9">
      <w:pPr>
        <w:rPr>
          <w:rFonts w:eastAsia="Calibri" w:cstheme="minorHAnsi"/>
        </w:rPr>
      </w:pPr>
    </w:p>
    <w:p w:rsidR="00214EB9" w:rsidRPr="00D35281" w:rsidRDefault="00214EB9" w:rsidP="00214EB9">
      <w:pPr>
        <w:rPr>
          <w:rFonts w:eastAsia="Calibri" w:cstheme="minorHAnsi"/>
          <w:lang w:eastAsia="en-CA"/>
        </w:rPr>
      </w:pPr>
      <w:r w:rsidRPr="00D35281">
        <w:rPr>
          <w:rFonts w:eastAsia="Calibri" w:cstheme="minorHAnsi"/>
        </w:rPr>
        <w:lastRenderedPageBreak/>
        <w:t>The above diagram is a useful progression from the more linear depictions.</w:t>
      </w:r>
      <w:r w:rsidRPr="00D35281">
        <w:rPr>
          <w:rStyle w:val="FootnoteReference"/>
          <w:rFonts w:eastAsia="Calibri" w:cstheme="minorHAnsi"/>
        </w:rPr>
        <w:footnoteReference w:id="7"/>
      </w:r>
      <w:r w:rsidRPr="00D35281">
        <w:rPr>
          <w:rFonts w:eastAsia="Calibri" w:cstheme="minorHAnsi"/>
        </w:rPr>
        <w:t xml:space="preserve"> Davison (2009) suggests two broad principles which are critical to judging the success of knowledge translation: interaction and knowledge use or application. She summarizes the indicators as follows: </w:t>
      </w:r>
    </w:p>
    <w:p w:rsidR="00214EB9" w:rsidRDefault="00214EB9" w:rsidP="00214EB9">
      <w:pPr>
        <w:numPr>
          <w:ilvl w:val="0"/>
          <w:numId w:val="3"/>
        </w:numPr>
        <w:spacing w:after="0" w:line="240" w:lineRule="auto"/>
        <w:contextualSpacing/>
        <w:rPr>
          <w:rFonts w:eastAsia="Calibri" w:cstheme="minorHAnsi"/>
          <w:lang w:eastAsia="en-CA"/>
        </w:rPr>
      </w:pPr>
      <w:r w:rsidRPr="00D35281">
        <w:rPr>
          <w:rFonts w:eastAsia="Calibri" w:cstheme="minorHAnsi"/>
          <w:lang w:eastAsia="en-CA"/>
        </w:rPr>
        <w:t>Interactions between varied stakeholders in the production and use of knowledge, including the engagement of the target audience. Indicators might include evidence of:</w:t>
      </w:r>
    </w:p>
    <w:p w:rsidR="00214EB9" w:rsidRPr="00214EB9" w:rsidRDefault="00214EB9" w:rsidP="00214EB9">
      <w:pPr>
        <w:spacing w:after="0" w:line="240" w:lineRule="auto"/>
        <w:ind w:left="720"/>
        <w:contextualSpacing/>
        <w:rPr>
          <w:rFonts w:eastAsia="Calibri" w:cstheme="minorHAnsi"/>
          <w:lang w:eastAsia="en-CA"/>
        </w:rPr>
      </w:pP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communication channels, processes, and context between knowledge translation actors;</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working relationships among stakeholders;</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an ongoing forum for sharing among stakeholders;</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 xml:space="preserve">opportunities for collaboration; </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shared vocabulary among stakeholders;</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knowledge being relevant to and understood by the target audience;</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a linking or brokerage role being taken among stakeholders; and,</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members of the target audience being engaged as co-researchers.</w:t>
      </w:r>
    </w:p>
    <w:p w:rsidR="00214EB9" w:rsidRPr="00D35281" w:rsidRDefault="00214EB9" w:rsidP="00214EB9">
      <w:pPr>
        <w:ind w:left="1440"/>
        <w:rPr>
          <w:rFonts w:eastAsia="Calibri" w:cstheme="minorHAnsi"/>
          <w:lang w:eastAsia="en-CA"/>
        </w:rPr>
      </w:pPr>
    </w:p>
    <w:p w:rsidR="00214EB9" w:rsidRDefault="00214EB9" w:rsidP="00214EB9">
      <w:pPr>
        <w:numPr>
          <w:ilvl w:val="0"/>
          <w:numId w:val="3"/>
        </w:numPr>
        <w:spacing w:after="0" w:line="240" w:lineRule="auto"/>
        <w:contextualSpacing/>
        <w:rPr>
          <w:rFonts w:eastAsia="Calibri" w:cstheme="minorHAnsi"/>
          <w:lang w:eastAsia="en-CA"/>
        </w:rPr>
      </w:pPr>
      <w:r w:rsidRPr="00D35281">
        <w:rPr>
          <w:rFonts w:eastAsia="Calibri" w:cstheme="minorHAnsi"/>
          <w:lang w:eastAsia="en-CA"/>
        </w:rPr>
        <w:t>The use or application of knowledge, passive or active—for example:</w:t>
      </w:r>
    </w:p>
    <w:p w:rsidR="00214EB9" w:rsidRPr="00214EB9" w:rsidRDefault="00214EB9" w:rsidP="00214EB9">
      <w:pPr>
        <w:spacing w:after="0" w:line="240" w:lineRule="auto"/>
        <w:ind w:left="720"/>
        <w:contextualSpacing/>
        <w:rPr>
          <w:rFonts w:eastAsia="Calibri" w:cstheme="minorHAnsi"/>
          <w:lang w:eastAsia="en-CA"/>
        </w:rPr>
      </w:pP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research products being used to inform policy or agenda setting;</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knowledge being used to inform decision making, in relation to individuals or in relation to policy and practice within systems, institutions, and states;</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changes in behavior, awareness, communication, or interaction patterns evident among varied stakeholders; and,</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knowledge being used to help create and support interventions.</w:t>
      </w:r>
    </w:p>
    <w:p w:rsidR="00214EB9" w:rsidRPr="00D35281" w:rsidRDefault="00214EB9" w:rsidP="00214EB9">
      <w:pPr>
        <w:ind w:left="720"/>
        <w:rPr>
          <w:rFonts w:eastAsia="Calibri" w:cstheme="minorHAnsi"/>
          <w:lang w:eastAsia="en-CA"/>
        </w:rPr>
      </w:pPr>
    </w:p>
    <w:p w:rsidR="00214EB9" w:rsidRPr="00D35281" w:rsidRDefault="00214EB9" w:rsidP="00214EB9">
      <w:pPr>
        <w:ind w:left="720"/>
        <w:rPr>
          <w:rFonts w:eastAsia="Calibri" w:cstheme="minorHAnsi"/>
          <w:lang w:eastAsia="en-CA"/>
        </w:rPr>
      </w:pPr>
      <w:r w:rsidRPr="00D35281">
        <w:rPr>
          <w:rFonts w:eastAsia="Calibri" w:cstheme="minorHAnsi"/>
          <w:lang w:eastAsia="en-CA"/>
        </w:rPr>
        <w:t>Also important to note when thinking about evaluation and knowledge translation are:</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the context of the process: What is the issue being translated? What stage of knowledge translation is currently the focus? Who are the key actors? What are characteristics of the setting?</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the definitions of how the knowledge translation process is framed by the actors themselves;</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the decision-making processes that exist; and,</w:t>
      </w:r>
    </w:p>
    <w:p w:rsidR="00214EB9" w:rsidRPr="00D35281" w:rsidRDefault="00214EB9" w:rsidP="00214EB9">
      <w:pPr>
        <w:numPr>
          <w:ilvl w:val="0"/>
          <w:numId w:val="4"/>
        </w:numPr>
        <w:spacing w:after="0" w:line="240" w:lineRule="auto"/>
        <w:rPr>
          <w:rFonts w:eastAsia="Calibri" w:cstheme="minorHAnsi"/>
          <w:lang w:eastAsia="en-CA"/>
        </w:rPr>
      </w:pPr>
      <w:r w:rsidRPr="00D35281">
        <w:rPr>
          <w:rFonts w:eastAsia="Calibri" w:cstheme="minorHAnsi"/>
          <w:lang w:eastAsia="en-CA"/>
        </w:rPr>
        <w:t>the critical events that take place.</w:t>
      </w:r>
    </w:p>
    <w:p w:rsidR="00214EB9" w:rsidRPr="00D35281" w:rsidRDefault="00214EB9" w:rsidP="00214EB9">
      <w:pPr>
        <w:rPr>
          <w:rFonts w:eastAsia="Calibri" w:cstheme="minorHAnsi"/>
        </w:rPr>
      </w:pPr>
    </w:p>
    <w:p w:rsidR="00214EB9" w:rsidRPr="00214EB9" w:rsidRDefault="00214EB9" w:rsidP="00214EB9">
      <w:pPr>
        <w:rPr>
          <w:rFonts w:eastAsia="Calibri" w:cstheme="minorHAnsi"/>
          <w:color w:val="000000"/>
        </w:rPr>
      </w:pPr>
      <w:r w:rsidRPr="00D35281">
        <w:rPr>
          <w:rFonts w:eastAsia="Calibri" w:cstheme="minorHAnsi"/>
        </w:rPr>
        <w:t xml:space="preserve">These indicators represent an evolution in thinking, but there would seem to be room to go even further.  </w:t>
      </w:r>
    </w:p>
    <w:p w:rsidR="00214EB9" w:rsidRPr="00D35281" w:rsidRDefault="00214EB9" w:rsidP="00214EB9">
      <w:pPr>
        <w:rPr>
          <w:rFonts w:eastAsia="Calibri" w:cstheme="minorHAnsi"/>
        </w:rPr>
      </w:pPr>
      <w:r w:rsidRPr="00D35281">
        <w:rPr>
          <w:rFonts w:eastAsia="Calibri" w:cstheme="minorHAnsi"/>
        </w:rPr>
        <w:lastRenderedPageBreak/>
        <w:t xml:space="preserve">So while the pyramid model or the ‘build’ innovation diffusion or psychological model represents one way to present the transformation from data to information to knowledge and to wisdom (e.g. decisions for innovation adoption), and the idea of knowledge translation represents learning and knowledge translation to use as a two way process – the operationalization of this process continues to be shown as quite linear and cumulative in a one way or two-way fashion. Research suggests that there may be a third way to depict this vital process which is at once more valid to actual processes, consistent with the spirit of developmental evaluation – brought in the form of the epistemology of First Nations people. </w:t>
      </w:r>
    </w:p>
    <w:p w:rsidR="00214EB9" w:rsidRPr="00D35281" w:rsidRDefault="00214EB9" w:rsidP="00214EB9">
      <w:pPr>
        <w:rPr>
          <w:rFonts w:eastAsia="Calibri" w:cstheme="minorHAnsi"/>
        </w:rPr>
      </w:pPr>
      <w:r w:rsidRPr="00D35281">
        <w:rPr>
          <w:rFonts w:eastAsia="Calibri" w:cstheme="minorHAnsi"/>
        </w:rPr>
        <w:t>Research shows that in many Indigenous cultures the Medicine Wheel</w:t>
      </w:r>
      <w:r w:rsidRPr="00D35281">
        <w:rPr>
          <w:rStyle w:val="FootnoteReference"/>
          <w:rFonts w:eastAsia="Calibri" w:cstheme="minorHAnsi"/>
        </w:rPr>
        <w:footnoteReference w:id="8"/>
      </w:r>
      <w:r w:rsidRPr="00D35281">
        <w:rPr>
          <w:rFonts w:eastAsia="Calibri" w:cstheme="minorHAnsi"/>
        </w:rPr>
        <w:t xml:space="preserve"> metaphor contains all of the traditional teachings and can therefore be used as a guide on any journey, including the educational or evidence informed decision-making process. While there is some variation in its teachings and representations across groups, the underlying web of meaning to Medicine Wheels remains the same: the importance of appreciating and respecting the ongoing interconnectedness and interrelatedness of all things. Therefore, there is no “right” or “wrong” way of representing or using Medicine Wheels: all</w:t>
      </w:r>
      <w:r>
        <w:rPr>
          <w:rFonts w:eastAsia="Calibri" w:cstheme="minorHAnsi"/>
        </w:rPr>
        <w:t xml:space="preserve"> </w:t>
      </w:r>
      <w:r w:rsidRPr="00D35281">
        <w:rPr>
          <w:rFonts w:eastAsia="Calibri" w:cstheme="minorHAnsi"/>
        </w:rPr>
        <w:t>forms hold particular meaning to the various Indigenous nations while all transmit a common understanding of the interconnectedness and interrelatedness of all things.</w:t>
      </w:r>
    </w:p>
    <w:p w:rsidR="00AE1ABC" w:rsidRDefault="00214EB9" w:rsidP="00AE1ABC">
      <w:pPr>
        <w:rPr>
          <w:rFonts w:eastAsia="Calibri" w:cstheme="minorHAnsi"/>
        </w:rPr>
      </w:pPr>
      <w:r w:rsidRPr="00D35281">
        <w:rPr>
          <w:rFonts w:eastAsia="Calibri" w:cstheme="minorHAnsi"/>
        </w:rPr>
        <w:t>The following Medicine Wheel diagram (</w:t>
      </w:r>
      <w:r w:rsidRPr="00D35281">
        <w:rPr>
          <w:rFonts w:eastAsia="Calibri" w:cstheme="minorHAnsi"/>
          <w:b/>
          <w:bCs/>
        </w:rPr>
        <w:t>Figure 1</w:t>
      </w:r>
      <w:r w:rsidRPr="00D35281">
        <w:rPr>
          <w:rFonts w:eastAsia="Calibri" w:cstheme="minorHAnsi"/>
        </w:rPr>
        <w:t>) reviews the gifts of each of the directions as informed by Cree Elder Michael Thrasher. In the east the gift of vision is found, where one is able to “see.” In the south one spends time in which to relate to the vision. In the west, one uses the gift of reason to figure it out. In the north, one uses the gift of movement to do or actualize the vision. According to Absolon,</w:t>
      </w:r>
      <w:r w:rsidRPr="00D35281">
        <w:rPr>
          <w:rStyle w:val="FootnoteReference"/>
          <w:rFonts w:eastAsia="Calibri" w:cstheme="minorHAnsi"/>
        </w:rPr>
        <w:footnoteReference w:id="9"/>
      </w:r>
      <w:r w:rsidRPr="00D35281">
        <w:rPr>
          <w:rFonts w:eastAsia="Calibri" w:cstheme="minorHAnsi"/>
        </w:rPr>
        <w:t xml:space="preserve"> in following the path of Medicine Wheels “the fourth direction involves creating a healing movement towards change – this is possible only when the other components have been acknowledged.”</w:t>
      </w:r>
      <w:r w:rsidRPr="00D35281">
        <w:rPr>
          <w:rStyle w:val="FootnoteReference"/>
          <w:rFonts w:eastAsia="Calibri" w:cstheme="minorHAnsi"/>
        </w:rPr>
        <w:footnoteReference w:id="10"/>
      </w:r>
    </w:p>
    <w:p w:rsidR="00AE1ABC" w:rsidRDefault="00AE1ABC" w:rsidP="00AE1ABC">
      <w:pPr>
        <w:jc w:val="center"/>
        <w:rPr>
          <w:rFonts w:eastAsia="Calibri" w:cstheme="minorHAnsi"/>
        </w:rPr>
      </w:pPr>
      <w:r w:rsidRPr="00D35281">
        <w:rPr>
          <w:rFonts w:eastAsia="Calibri" w:cstheme="minorHAnsi"/>
          <w:b/>
          <w:bCs/>
          <w:color w:val="000000"/>
        </w:rPr>
        <w:t>Figure 1: Gifts of the Four Directions</w:t>
      </w:r>
    </w:p>
    <w:p w:rsidR="00214EB9" w:rsidRPr="00AE1ABC" w:rsidRDefault="00AE1ABC" w:rsidP="00AE1ABC">
      <w:pPr>
        <w:jc w:val="center"/>
        <w:rPr>
          <w:rFonts w:eastAsia="Calibri" w:cstheme="minorHAnsi"/>
        </w:rPr>
      </w:pPr>
      <w:r w:rsidRPr="00D35281">
        <w:rPr>
          <w:rFonts w:eastAsia="Calibri" w:cstheme="minorHAnsi"/>
          <w:noProof/>
          <w:lang w:val="en-CA" w:eastAsia="en-CA"/>
        </w:rPr>
        <w:drawing>
          <wp:inline distT="0" distB="0" distL="0" distR="0" wp14:anchorId="02B8CD72" wp14:editId="06AE45B7">
            <wp:extent cx="1724025" cy="1604057"/>
            <wp:effectExtent l="0" t="0" r="2540" b="0"/>
            <wp:docPr id="22" name="Picture 2" descr="cid:image019.jpg@01D2A7CB.D598B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9.jpg@01D2A7CB.D598B440"/>
                    <pic:cNvPicPr>
                      <a:picLocks noChangeAspect="1" noChangeArrowheads="1"/>
                    </pic:cNvPicPr>
                  </pic:nvPicPr>
                  <pic:blipFill rotWithShape="1">
                    <a:blip r:embed="rId14" r:link="rId15" cstate="print"/>
                    <a:srcRect b="7718"/>
                    <a:stretch/>
                  </pic:blipFill>
                  <pic:spPr bwMode="auto">
                    <a:xfrm>
                      <a:off x="0" y="0"/>
                      <a:ext cx="1724025" cy="1604057"/>
                    </a:xfrm>
                    <a:prstGeom prst="rect">
                      <a:avLst/>
                    </a:prstGeom>
                    <a:noFill/>
                    <a:ln>
                      <a:noFill/>
                    </a:ln>
                    <a:extLst>
                      <a:ext uri="{53640926-AAD7-44D8-BBD7-CCE9431645EC}">
                        <a14:shadowObscured xmlns:a14="http://schemas.microsoft.com/office/drawing/2010/main"/>
                      </a:ext>
                    </a:extLst>
                  </pic:spPr>
                </pic:pic>
              </a:graphicData>
            </a:graphic>
          </wp:inline>
        </w:drawing>
      </w:r>
    </w:p>
    <w:p w:rsidR="00214EB9" w:rsidRPr="00D35281" w:rsidRDefault="00214EB9" w:rsidP="00214EB9">
      <w:pPr>
        <w:jc w:val="center"/>
        <w:rPr>
          <w:rFonts w:eastAsia="Calibri" w:cstheme="minorHAnsi"/>
        </w:rPr>
      </w:pPr>
    </w:p>
    <w:p w:rsidR="0012150D" w:rsidRDefault="00214EB9" w:rsidP="00214EB9">
      <w:pPr>
        <w:rPr>
          <w:rFonts w:eastAsia="Calibri" w:cstheme="minorHAnsi"/>
        </w:rPr>
      </w:pPr>
      <w:r w:rsidRPr="00D35281">
        <w:rPr>
          <w:rFonts w:eastAsia="Calibri" w:cstheme="minorHAnsi"/>
        </w:rPr>
        <w:t>Moving into the “doing” phase of the North requires taking the knowledge gained from all the directions and enacting that knowledge. This form of application makes the balance achievable. Using Medicine Wheels as a tool for analysis in learning, decision making and adoptions demands the continuous and ongoing reflection of oneself in relation to others – thus balance must be maintained while embracing change. As noted by Graveline, </w:t>
      </w:r>
      <w:r w:rsidRPr="00D35281">
        <w:rPr>
          <w:rFonts w:eastAsia="Calibri" w:cstheme="minorHAnsi"/>
          <w:i/>
          <w:iCs/>
        </w:rPr>
        <w:t>Circle Works: Transforming Eurocentric consciousness</w:t>
      </w:r>
      <w:r w:rsidRPr="00D35281">
        <w:rPr>
          <w:rFonts w:eastAsia="Calibri" w:cstheme="minorHAnsi"/>
        </w:rPr>
        <w:t> (Halifax, NS: Fernwood Publishing, 1998), 182 “The teaching and healing process is evolutionary and cyclical in nature, as is the continuum of medicine wheels. It begins with a desire to understand and identify with the balance, wholeness and interconnectedness expressed in the medicine wheel.”</w:t>
      </w:r>
      <w:r w:rsidRPr="00D35281">
        <w:rPr>
          <w:rStyle w:val="FootnoteReference"/>
          <w:rFonts w:eastAsia="Calibri" w:cstheme="minorHAnsi"/>
        </w:rPr>
        <w:footnoteReference w:id="11"/>
      </w:r>
      <w:r w:rsidRPr="00D35281">
        <w:rPr>
          <w:rFonts w:eastAsia="Calibri" w:cstheme="minorHAnsi"/>
        </w:rPr>
        <w:t>  In order to create the movement required by the northern direction, one must re-visit the other directions to achieve a 360-degree vision.</w:t>
      </w:r>
      <w:r w:rsidRPr="00D35281">
        <w:rPr>
          <w:rStyle w:val="FootnoteReference"/>
          <w:rFonts w:eastAsia="Calibri" w:cstheme="minorHAnsi"/>
        </w:rPr>
        <w:footnoteReference w:id="12"/>
      </w:r>
      <w:r w:rsidRPr="00D35281">
        <w:rPr>
          <w:rFonts w:eastAsia="Calibri" w:cstheme="minorHAnsi"/>
        </w:rPr>
        <w:t xml:space="preserve"> </w:t>
      </w:r>
    </w:p>
    <w:p w:rsidR="00214EB9" w:rsidRPr="00214EB9" w:rsidRDefault="00214EB9" w:rsidP="00214EB9">
      <w:pPr>
        <w:rPr>
          <w:rFonts w:eastAsia="Calibri" w:cstheme="minorHAnsi"/>
        </w:rPr>
      </w:pPr>
      <w:r w:rsidRPr="00D35281">
        <w:rPr>
          <w:rFonts w:eastAsia="Calibri" w:cstheme="minorHAnsi"/>
        </w:rPr>
        <w:t>By this thinking change will not “come into existence in a linear way, as the result of a single-minded drive, but in a cyclic, circular way, working in all dimensions of a culture, moving from one position to another, not in reaction but in interaction with other forces.”</w:t>
      </w:r>
      <w:r w:rsidRPr="00D35281">
        <w:rPr>
          <w:rStyle w:val="FootnoteReference"/>
          <w:rFonts w:eastAsia="Calibri" w:cstheme="minorHAnsi"/>
        </w:rPr>
        <w:footnoteReference w:id="13"/>
      </w:r>
      <w:r w:rsidRPr="00D35281">
        <w:rPr>
          <w:rFonts w:eastAsia="Calibri" w:cstheme="minorHAnsi"/>
        </w:rPr>
        <w:t xml:space="preserve">   According to Graveline, moving from linear models to the interconnectedness of the circle can guide the development of learning models for the future.</w:t>
      </w:r>
      <w:r w:rsidRPr="00D35281">
        <w:rPr>
          <w:rStyle w:val="FootnoteReference"/>
          <w:rFonts w:eastAsia="Calibri" w:cstheme="minorHAnsi"/>
        </w:rPr>
        <w:footnoteReference w:id="14"/>
      </w:r>
      <w:r w:rsidRPr="00D35281">
        <w:rPr>
          <w:rFonts w:eastAsia="Calibri" w:cstheme="minorHAnsi"/>
        </w:rPr>
        <w:t xml:space="preserve"> It is noted that in SIU briefing materials (see Relationships, Possibilities, Actions briefing deck  2017,  the use of circular, iterative learning circle movements has been used to represent the discover – test – implement cycle of the policy innovation and experimentation process.  Our analysis suggests that a learning circle or wheel mental model might therefore suit this process.</w:t>
      </w:r>
    </w:p>
    <w:p w:rsidR="00214EB9" w:rsidRPr="00214EB9" w:rsidRDefault="00214EB9" w:rsidP="00214EB9">
      <w:pPr>
        <w:rPr>
          <w:rFonts w:eastAsia="Calibri" w:cstheme="minorHAnsi"/>
        </w:rPr>
      </w:pPr>
      <w:r w:rsidRPr="00D35281">
        <w:rPr>
          <w:rFonts w:eastAsia="Calibri" w:cstheme="minorHAnsi"/>
        </w:rPr>
        <w:t>As noted above, understanding Indigenous knowledge and worldview begins with Medicine Wheel teachings previously discussed: the gifts of the directions (vision, time, reason, movement), the actions of those gifts (see it, relate to it, figure it out, do it), and the learning process (awareness, understanding, knowledge, wisdom). Building from these understandings, Indigenous knowledge embraced by Medicine Wheels can also be defined as wholeness, interrelationships, interconnections, and balance/respect. Once again these values seem embedded in the work of the Social Innovation Unit, therefore such an interconnected mental model for innovation adoption should be considered.</w:t>
      </w:r>
    </w:p>
    <w:p w:rsidR="00214EB9" w:rsidRPr="00D35281" w:rsidRDefault="00214EB9" w:rsidP="00214EB9">
      <w:pPr>
        <w:rPr>
          <w:rFonts w:eastAsia="Times New Roman"/>
          <w:szCs w:val="24"/>
        </w:rPr>
      </w:pPr>
      <w:r w:rsidRPr="00D35281">
        <w:rPr>
          <w:rFonts w:eastAsia="Times New Roman"/>
          <w:szCs w:val="24"/>
        </w:rPr>
        <w:t>While the overriding theory of evidence-informed decision making needs to evolve to a more obviously inter-connected and less linear way of thinking, the fact is that the SIU needs to operate in an environment that tends to emphasize linear, additive thinking and analysis.  How can these be reconciled?</w:t>
      </w:r>
    </w:p>
    <w:p w:rsidR="00214EB9" w:rsidRPr="00D35281" w:rsidRDefault="00214EB9" w:rsidP="00214EB9">
      <w:pPr>
        <w:rPr>
          <w:rFonts w:eastAsia="Times New Roman"/>
          <w:szCs w:val="24"/>
        </w:rPr>
      </w:pPr>
      <w:r w:rsidRPr="00D35281">
        <w:rPr>
          <w:rFonts w:eastAsia="Times New Roman"/>
          <w:szCs w:val="24"/>
        </w:rPr>
        <w:lastRenderedPageBreak/>
        <w:t xml:space="preserve">In order to reconcile the need to embrace complex behaviors </w:t>
      </w:r>
      <w:r w:rsidRPr="00D35281">
        <w:rPr>
          <w:rFonts w:eastAsia="Times New Roman"/>
          <w:szCs w:val="24"/>
          <w:u w:val="single"/>
        </w:rPr>
        <w:t>and</w:t>
      </w:r>
      <w:r w:rsidRPr="00D35281">
        <w:rPr>
          <w:rFonts w:eastAsia="Times New Roman"/>
          <w:szCs w:val="24"/>
        </w:rPr>
        <w:t xml:space="preserve"> show adaptability, while helping serve ongoing management needs such as planning on offering a support to strategy – a different template or construct is required from the conventional evaluation logic model.</w:t>
      </w:r>
      <w:r w:rsidRPr="00D35281">
        <w:rPr>
          <w:rStyle w:val="FootnoteReference"/>
          <w:rFonts w:eastAsia="Times New Roman"/>
          <w:szCs w:val="24"/>
        </w:rPr>
        <w:footnoteReference w:id="15"/>
      </w:r>
    </w:p>
    <w:p w:rsidR="00214EB9" w:rsidRPr="00D35281" w:rsidRDefault="00214EB9" w:rsidP="00214EB9">
      <w:pPr>
        <w:rPr>
          <w:rFonts w:eastAsia="Times New Roman"/>
          <w:szCs w:val="24"/>
        </w:rPr>
      </w:pPr>
      <w:r w:rsidRPr="00D35281">
        <w:rPr>
          <w:rFonts w:eastAsia="Times New Roman"/>
          <w:szCs w:val="24"/>
        </w:rPr>
        <w:t>An approach developed over several years for the Canadian Cancer Society may serve as a balance between the need for modeling complex, emergent initiatives and the need for strong structure.</w:t>
      </w:r>
      <w:r w:rsidRPr="00D35281">
        <w:rPr>
          <w:rStyle w:val="FootnoteReference"/>
          <w:rFonts w:eastAsia="Times New Roman"/>
          <w:szCs w:val="24"/>
        </w:rPr>
        <w:footnoteReference w:id="16"/>
      </w:r>
      <w:r w:rsidRPr="00D35281">
        <w:rPr>
          <w:rFonts w:eastAsia="Times New Roman"/>
          <w:szCs w:val="24"/>
        </w:rPr>
        <w:t xml:space="preserve"> The system features a results chain logic based on an established and research based behavior change and information adoption model.</w:t>
      </w:r>
      <w:r w:rsidRPr="00D35281">
        <w:rPr>
          <w:rStyle w:val="FootnoteReference"/>
          <w:rFonts w:eastAsia="Times New Roman"/>
          <w:szCs w:val="24"/>
        </w:rPr>
        <w:footnoteReference w:id="17"/>
      </w:r>
      <w:r w:rsidRPr="00D35281">
        <w:rPr>
          <w:rFonts w:eastAsia="Times New Roman"/>
          <w:szCs w:val="24"/>
        </w:rPr>
        <w:t xml:space="preserve"> </w:t>
      </w:r>
    </w:p>
    <w:p w:rsidR="00214EB9" w:rsidRPr="00724B01" w:rsidRDefault="00724B01" w:rsidP="00214EB9">
      <w:pPr>
        <w:rPr>
          <w:rFonts w:asciiTheme="majorHAnsi" w:eastAsia="Times New Roman" w:hAnsiTheme="majorHAnsi"/>
          <w:sz w:val="28"/>
          <w:szCs w:val="28"/>
        </w:rPr>
      </w:pPr>
      <w:r w:rsidRPr="00724B01">
        <w:rPr>
          <w:rFonts w:asciiTheme="majorHAnsi" w:eastAsia="Times New Roman" w:hAnsiTheme="majorHAnsi"/>
          <w:sz w:val="28"/>
          <w:szCs w:val="28"/>
        </w:rPr>
        <w:t>3. A SOCIAL INNOVATION PERFORMANCE MEASUREMENT FRAMEWORK</w:t>
      </w:r>
    </w:p>
    <w:p w:rsidR="00724B01" w:rsidRPr="00724B01" w:rsidRDefault="00724B01" w:rsidP="00214EB9">
      <w:pPr>
        <w:rPr>
          <w:rFonts w:asciiTheme="majorHAnsi" w:eastAsia="Times New Roman" w:hAnsiTheme="majorHAnsi"/>
          <w:sz w:val="24"/>
          <w:szCs w:val="24"/>
        </w:rPr>
      </w:pPr>
      <w:r w:rsidRPr="00724B01">
        <w:rPr>
          <w:rFonts w:asciiTheme="majorHAnsi" w:eastAsia="Times New Roman" w:hAnsiTheme="majorHAnsi"/>
          <w:sz w:val="24"/>
          <w:szCs w:val="24"/>
        </w:rPr>
        <w:t>3.1 THE NEED FOR THE SOCIAL INNOVATION UNIT</w:t>
      </w:r>
    </w:p>
    <w:p w:rsidR="00724B01" w:rsidRPr="00D35281" w:rsidRDefault="00724B01" w:rsidP="00724B01">
      <w:pPr>
        <w:rPr>
          <w:rFonts w:eastAsia="Calibri" w:cstheme="minorHAnsi"/>
        </w:rPr>
      </w:pPr>
      <w:r w:rsidRPr="00D35281">
        <w:rPr>
          <w:rFonts w:eastAsia="Calibri" w:cstheme="minorHAnsi"/>
        </w:rPr>
        <w:t>An evaluation of the Office of Energy Efficiency conducted in 2014 and published in 2015 found the following:</w:t>
      </w:r>
    </w:p>
    <w:p w:rsidR="00724B01" w:rsidRDefault="00724B01" w:rsidP="00724B01">
      <w:pPr>
        <w:numPr>
          <w:ilvl w:val="0"/>
          <w:numId w:val="10"/>
        </w:numPr>
        <w:spacing w:after="0" w:line="240" w:lineRule="auto"/>
        <w:rPr>
          <w:rFonts w:eastAsia="Times New Roman" w:cstheme="minorHAnsi"/>
        </w:rPr>
      </w:pPr>
      <w:r w:rsidRPr="00D35281">
        <w:rPr>
          <w:rFonts w:eastAsia="Times New Roman" w:cstheme="minorHAnsi"/>
          <w:b/>
          <w:bCs/>
        </w:rPr>
        <w:t>Explain or enhance the value of some offerings</w:t>
      </w:r>
      <w:r w:rsidRPr="00D35281">
        <w:rPr>
          <w:rFonts w:eastAsia="Times New Roman" w:cstheme="minorHAnsi"/>
        </w:rPr>
        <w:t xml:space="preserve">: Energy Sector should address challenges identified with uptake and use of some OEE products and tools by improving awareness of and better explaining their value to target audiences. In some cases, Energy Sector should also enhance the value of certain tools and products. </w:t>
      </w:r>
    </w:p>
    <w:p w:rsidR="00724B01" w:rsidRPr="00724B01" w:rsidRDefault="00724B01" w:rsidP="00724B01">
      <w:pPr>
        <w:spacing w:after="0" w:line="240" w:lineRule="auto"/>
        <w:ind w:left="720"/>
        <w:rPr>
          <w:rFonts w:eastAsia="Times New Roman" w:cstheme="minorHAnsi"/>
        </w:rPr>
      </w:pPr>
    </w:p>
    <w:p w:rsidR="00724B01" w:rsidRDefault="00724B01" w:rsidP="00724B01">
      <w:pPr>
        <w:numPr>
          <w:ilvl w:val="1"/>
          <w:numId w:val="10"/>
        </w:numPr>
        <w:spacing w:after="0" w:line="240" w:lineRule="auto"/>
        <w:rPr>
          <w:rFonts w:eastAsia="Times New Roman" w:cstheme="minorHAnsi"/>
        </w:rPr>
      </w:pPr>
      <w:r w:rsidRPr="00D35281">
        <w:rPr>
          <w:rFonts w:eastAsia="Times New Roman" w:cstheme="minorHAnsi"/>
        </w:rPr>
        <w:t>The Evaluation has found that OEE is not effectively communicating the value of some of its offerings to target groups. This challenge is being observed through limited consumer demand for and understanding of home labelling programs such as ENERGY STAR for New Homes, and the recently introduced ENERGY STAR Most Efficient product label; perceived uncertainty of the value to join SmartWay for some carriers and shippers; the difficulty in securing federal commitments to undergo building retrofits; and the identified opportunities to extend the reach of the Canadian Industry Program for Energy Conservation.</w:t>
      </w:r>
    </w:p>
    <w:p w:rsidR="00724B01" w:rsidRPr="00724B01" w:rsidRDefault="00724B01" w:rsidP="00724B01">
      <w:pPr>
        <w:spacing w:after="0" w:line="240" w:lineRule="auto"/>
        <w:ind w:left="1440"/>
        <w:rPr>
          <w:rFonts w:eastAsia="Times New Roman" w:cstheme="minorHAnsi"/>
        </w:rPr>
      </w:pPr>
    </w:p>
    <w:p w:rsidR="00724B01" w:rsidRPr="00D35281" w:rsidRDefault="00724B01" w:rsidP="00724B01">
      <w:pPr>
        <w:rPr>
          <w:rFonts w:eastAsia="Times New Roman"/>
          <w:szCs w:val="24"/>
        </w:rPr>
      </w:pPr>
      <w:r w:rsidRPr="00D35281">
        <w:rPr>
          <w:rFonts w:eastAsia="Calibri" w:cstheme="minorHAnsi"/>
        </w:rPr>
        <w:t>The SIU may be seen as part of the response to this perceived need in that it is seeking to more clearly and directly experiment with ways and means to connect with and to develop valuable offerings for Canadians.  As noted in section 2, however, the problem may involve a bit more than simply improving the communication of value.  The analysis conducted in section 2 suggests that a more context driven, holistic and adopter centric approach (informed by social science research) may be in order to improve the adoption of clean energy or energy reducing initiatives.</w:t>
      </w:r>
    </w:p>
    <w:p w:rsidR="00214EB9" w:rsidRPr="00724B01" w:rsidRDefault="00724B01" w:rsidP="00214EB9">
      <w:pPr>
        <w:rPr>
          <w:rFonts w:asciiTheme="majorHAnsi" w:hAnsiTheme="majorHAnsi"/>
          <w:sz w:val="24"/>
          <w:szCs w:val="24"/>
        </w:rPr>
      </w:pPr>
      <w:r w:rsidRPr="00724B01">
        <w:rPr>
          <w:rFonts w:asciiTheme="majorHAnsi" w:hAnsiTheme="majorHAnsi"/>
          <w:sz w:val="24"/>
          <w:szCs w:val="24"/>
        </w:rPr>
        <w:lastRenderedPageBreak/>
        <w:t>3.2 MANDATE FOR SOCIAL INNOVATION PARTNERSHIPS PROGRAM</w:t>
      </w:r>
    </w:p>
    <w:p w:rsidR="00724B01" w:rsidRPr="00D35281" w:rsidRDefault="00724B01" w:rsidP="00724B01">
      <w:pPr>
        <w:rPr>
          <w:rFonts w:eastAsia="Times New Roman"/>
          <w:szCs w:val="24"/>
        </w:rPr>
      </w:pPr>
      <w:r w:rsidRPr="00D35281">
        <w:rPr>
          <w:rFonts w:eastAsia="Times New Roman"/>
          <w:szCs w:val="24"/>
        </w:rPr>
        <w:t xml:space="preserve">NRCan has a mandate through the </w:t>
      </w:r>
      <w:r w:rsidRPr="00D35281">
        <w:rPr>
          <w:rFonts w:eastAsia="Times New Roman"/>
          <w:i/>
          <w:szCs w:val="24"/>
        </w:rPr>
        <w:t>Energy Efficiency Act</w:t>
      </w:r>
      <w:r w:rsidRPr="00D35281">
        <w:rPr>
          <w:rFonts w:eastAsia="Times New Roman"/>
          <w:szCs w:val="24"/>
        </w:rPr>
        <w:t xml:space="preserve"> to promote energy efficiency, to make and enforce regulations that prescribe standards and labelling requirements for energy-using products and products that affect energy use, and to collect data on energy use.  To support this mandate, NRCan’s OEE Social Innovation Unit is introducing and using new ways of engaging Canadians and partners to inform and advance research, prototyping and testing of innovative solutions that help overcome barriers, continuously improve the uptake of existing tools and programs, and/or create new tools, services and partnerships that work.</w:t>
      </w:r>
    </w:p>
    <w:p w:rsidR="00724B01" w:rsidRPr="00D35281" w:rsidRDefault="00724B01" w:rsidP="00724B01">
      <w:pPr>
        <w:rPr>
          <w:rFonts w:eastAsia="Times New Roman"/>
          <w:szCs w:val="24"/>
        </w:rPr>
      </w:pPr>
      <w:r w:rsidRPr="00D35281">
        <w:rPr>
          <w:rFonts w:eastAsia="Times New Roman"/>
          <w:szCs w:val="24"/>
        </w:rPr>
        <w:t>The OEE Social Innovation Unit was established</w:t>
      </w:r>
      <w:r>
        <w:rPr>
          <w:rFonts w:eastAsia="Times New Roman"/>
          <w:szCs w:val="24"/>
        </w:rPr>
        <w:t xml:space="preserve"> through Budgets 2016 and 2017</w:t>
      </w:r>
      <w:r w:rsidRPr="00D35281">
        <w:rPr>
          <w:rFonts w:eastAsia="Times New Roman"/>
          <w:szCs w:val="24"/>
        </w:rPr>
        <w:t xml:space="preserve"> </w:t>
      </w:r>
      <w:r>
        <w:rPr>
          <w:rFonts w:eastAsia="Times New Roman"/>
          <w:szCs w:val="24"/>
        </w:rPr>
        <w:t xml:space="preserve">funding </w:t>
      </w:r>
      <w:r w:rsidRPr="00D35281">
        <w:rPr>
          <w:rFonts w:eastAsia="Times New Roman"/>
          <w:szCs w:val="24"/>
        </w:rPr>
        <w:t>to deliver the Social Innovation Partnerships pilot and help policy and program teams amplify their reach and impact.</w:t>
      </w:r>
    </w:p>
    <w:p w:rsidR="00724B01" w:rsidRPr="00724B01" w:rsidRDefault="00724B01" w:rsidP="00214EB9">
      <w:pPr>
        <w:rPr>
          <w:rFonts w:asciiTheme="majorHAnsi" w:hAnsiTheme="majorHAnsi"/>
          <w:sz w:val="24"/>
          <w:szCs w:val="24"/>
        </w:rPr>
      </w:pPr>
      <w:r w:rsidRPr="00724B01">
        <w:rPr>
          <w:rFonts w:asciiTheme="majorHAnsi" w:hAnsiTheme="majorHAnsi"/>
          <w:sz w:val="24"/>
          <w:szCs w:val="24"/>
        </w:rPr>
        <w:t>3.3 ALIGNMENT WITH GOVERNMENT PRIORITIES</w:t>
      </w:r>
    </w:p>
    <w:p w:rsidR="00724B01" w:rsidRPr="00D35281" w:rsidRDefault="00724B01" w:rsidP="00724B01">
      <w:pPr>
        <w:rPr>
          <w:rFonts w:eastAsia="Times New Roman"/>
          <w:szCs w:val="24"/>
        </w:rPr>
      </w:pPr>
      <w:r w:rsidRPr="00D35281">
        <w:rPr>
          <w:rFonts w:eastAsia="Times New Roman"/>
          <w:szCs w:val="24"/>
        </w:rPr>
        <w:t xml:space="preserve">The mandate of the SIU directly aligns with current Government of Canada priorities – both to address </w:t>
      </w:r>
      <w:r>
        <w:rPr>
          <w:rFonts w:eastAsia="Times New Roman"/>
          <w:szCs w:val="24"/>
        </w:rPr>
        <w:t xml:space="preserve">clean growth and </w:t>
      </w:r>
      <w:r w:rsidRPr="00D35281">
        <w:rPr>
          <w:rFonts w:eastAsia="Times New Roman"/>
          <w:szCs w:val="24"/>
        </w:rPr>
        <w:t>climate chan</w:t>
      </w:r>
      <w:r>
        <w:rPr>
          <w:rFonts w:eastAsia="Times New Roman"/>
          <w:szCs w:val="24"/>
        </w:rPr>
        <w:t>ge</w:t>
      </w:r>
      <w:r w:rsidRPr="00D35281">
        <w:rPr>
          <w:rFonts w:eastAsia="Times New Roman"/>
          <w:szCs w:val="24"/>
        </w:rPr>
        <w:t xml:space="preserve">, and to promote </w:t>
      </w:r>
      <w:r>
        <w:rPr>
          <w:rFonts w:eastAsia="Times New Roman"/>
          <w:szCs w:val="24"/>
        </w:rPr>
        <w:t xml:space="preserve">policy </w:t>
      </w:r>
      <w:r w:rsidRPr="00D35281">
        <w:rPr>
          <w:rFonts w:eastAsia="Times New Roman"/>
          <w:szCs w:val="24"/>
        </w:rPr>
        <w:t>innovation</w:t>
      </w:r>
      <w:r>
        <w:rPr>
          <w:rFonts w:eastAsia="Times New Roman"/>
          <w:szCs w:val="24"/>
        </w:rPr>
        <w:t xml:space="preserve"> and experimentation</w:t>
      </w:r>
      <w:r w:rsidRPr="00D35281">
        <w:rPr>
          <w:rFonts w:eastAsia="Times New Roman"/>
          <w:szCs w:val="24"/>
        </w:rPr>
        <w:t>.</w:t>
      </w:r>
    </w:p>
    <w:p w:rsidR="00724B01" w:rsidRPr="00724B01" w:rsidRDefault="00724B01" w:rsidP="00214EB9">
      <w:pPr>
        <w:rPr>
          <w:rFonts w:asciiTheme="majorHAnsi" w:hAnsiTheme="majorHAnsi"/>
          <w:sz w:val="24"/>
          <w:szCs w:val="24"/>
        </w:rPr>
      </w:pPr>
      <w:r w:rsidRPr="00724B01">
        <w:rPr>
          <w:rFonts w:asciiTheme="majorHAnsi" w:hAnsiTheme="majorHAnsi"/>
          <w:sz w:val="24"/>
          <w:szCs w:val="24"/>
        </w:rPr>
        <w:t>3.4 TARGET POPULATIONS AND STAKEHOLDERS</w:t>
      </w:r>
    </w:p>
    <w:p w:rsidR="00724B01" w:rsidRPr="00D35281" w:rsidRDefault="00724B01" w:rsidP="00724B01">
      <w:pPr>
        <w:rPr>
          <w:rFonts w:eastAsia="Times New Roman"/>
          <w:szCs w:val="24"/>
        </w:rPr>
      </w:pPr>
      <w:r w:rsidRPr="00D35281">
        <w:rPr>
          <w:rFonts w:eastAsia="Times New Roman"/>
          <w:szCs w:val="24"/>
        </w:rPr>
        <w:t>Target populations include groups involved with marketplace areas and systems in need of / or with an opportunity to adopt and / or adapt innovations or change.</w:t>
      </w:r>
    </w:p>
    <w:p w:rsidR="00724B01" w:rsidRPr="00D35281" w:rsidRDefault="00724B01" w:rsidP="00724B01">
      <w:r w:rsidRPr="00D35281">
        <w:t>Stakeholders include:</w:t>
      </w:r>
    </w:p>
    <w:p w:rsidR="00A75157" w:rsidRDefault="00A75157" w:rsidP="00A75157">
      <w:pPr>
        <w:pStyle w:val="ListParagraph"/>
        <w:numPr>
          <w:ilvl w:val="0"/>
          <w:numId w:val="11"/>
        </w:numPr>
        <w:spacing w:after="0" w:line="240" w:lineRule="auto"/>
        <w:rPr>
          <w:rFonts w:eastAsia="Calibri"/>
        </w:rPr>
      </w:pPr>
      <w:r>
        <w:rPr>
          <w:rFonts w:eastAsia="Calibri"/>
        </w:rPr>
        <w:t>OEE policy and program teams</w:t>
      </w:r>
    </w:p>
    <w:p w:rsidR="00724B01" w:rsidRDefault="00724B01" w:rsidP="00A75157">
      <w:pPr>
        <w:pStyle w:val="ListParagraph"/>
        <w:numPr>
          <w:ilvl w:val="0"/>
          <w:numId w:val="11"/>
        </w:numPr>
        <w:spacing w:after="0" w:line="240" w:lineRule="auto"/>
        <w:rPr>
          <w:rFonts w:eastAsia="Calibri"/>
        </w:rPr>
      </w:pPr>
      <w:r>
        <w:rPr>
          <w:rFonts w:eastAsia="Calibri"/>
        </w:rPr>
        <w:t xml:space="preserve">other federal departments, </w:t>
      </w:r>
      <w:r w:rsidRPr="00D35281">
        <w:rPr>
          <w:rFonts w:eastAsia="Calibri"/>
        </w:rPr>
        <w:t>agencies</w:t>
      </w:r>
      <w:r>
        <w:rPr>
          <w:rFonts w:eastAsia="Calibri"/>
        </w:rPr>
        <w:t>, hubs and labs</w:t>
      </w:r>
    </w:p>
    <w:p w:rsidR="00A75157" w:rsidRPr="00A75157" w:rsidRDefault="00A75157" w:rsidP="00A75157">
      <w:pPr>
        <w:pStyle w:val="ListParagraph"/>
        <w:numPr>
          <w:ilvl w:val="0"/>
          <w:numId w:val="11"/>
        </w:numPr>
        <w:spacing w:after="0" w:line="240" w:lineRule="auto"/>
        <w:rPr>
          <w:rFonts w:eastAsia="Calibri"/>
        </w:rPr>
      </w:pPr>
      <w:r>
        <w:rPr>
          <w:rFonts w:eastAsia="Calibri"/>
        </w:rPr>
        <w:t>First Nation communities</w:t>
      </w:r>
    </w:p>
    <w:p w:rsidR="00724B01" w:rsidRDefault="00724B01" w:rsidP="00724B01">
      <w:pPr>
        <w:pStyle w:val="ListParagraph"/>
        <w:numPr>
          <w:ilvl w:val="0"/>
          <w:numId w:val="11"/>
        </w:numPr>
        <w:spacing w:after="0" w:line="240" w:lineRule="auto"/>
        <w:rPr>
          <w:rFonts w:eastAsia="Calibri"/>
        </w:rPr>
      </w:pPr>
      <w:r w:rsidRPr="00D35281">
        <w:rPr>
          <w:rFonts w:eastAsia="Calibri"/>
        </w:rPr>
        <w:t>provincial/territorial</w:t>
      </w:r>
      <w:r w:rsidR="00A75157">
        <w:rPr>
          <w:rFonts w:eastAsia="Calibri"/>
        </w:rPr>
        <w:t>/municipal</w:t>
      </w:r>
      <w:r w:rsidRPr="00D35281">
        <w:rPr>
          <w:rFonts w:eastAsia="Calibri"/>
        </w:rPr>
        <w:t xml:space="preserve"> authorities</w:t>
      </w:r>
      <w:r>
        <w:rPr>
          <w:rFonts w:eastAsia="Calibri"/>
        </w:rPr>
        <w:t>, including hubs and labs</w:t>
      </w:r>
    </w:p>
    <w:p w:rsidR="00A75157" w:rsidRPr="00D35281" w:rsidRDefault="00A75157" w:rsidP="00724B01">
      <w:pPr>
        <w:pStyle w:val="ListParagraph"/>
        <w:numPr>
          <w:ilvl w:val="0"/>
          <w:numId w:val="11"/>
        </w:numPr>
        <w:spacing w:after="0" w:line="240" w:lineRule="auto"/>
        <w:rPr>
          <w:rFonts w:eastAsia="Calibri"/>
        </w:rPr>
      </w:pPr>
      <w:r>
        <w:rPr>
          <w:rFonts w:eastAsia="Calibri"/>
        </w:rPr>
        <w:t>sustainability managers and networks</w:t>
      </w:r>
    </w:p>
    <w:p w:rsidR="00724B01" w:rsidRPr="00D35281" w:rsidRDefault="00724B01" w:rsidP="00724B01">
      <w:pPr>
        <w:pStyle w:val="ListParagraph"/>
        <w:numPr>
          <w:ilvl w:val="0"/>
          <w:numId w:val="11"/>
        </w:numPr>
        <w:spacing w:after="0" w:line="240" w:lineRule="auto"/>
        <w:rPr>
          <w:rFonts w:eastAsia="Calibri"/>
        </w:rPr>
      </w:pPr>
      <w:r w:rsidRPr="00D35281">
        <w:rPr>
          <w:rFonts w:eastAsia="Calibri"/>
        </w:rPr>
        <w:t>industry</w:t>
      </w:r>
      <w:r w:rsidR="00A75157">
        <w:rPr>
          <w:rFonts w:eastAsia="Calibri"/>
        </w:rPr>
        <w:t xml:space="preserve"> and businesses</w:t>
      </w:r>
    </w:p>
    <w:p w:rsidR="00724B01" w:rsidRDefault="00724B01" w:rsidP="00724B01">
      <w:pPr>
        <w:pStyle w:val="ListParagraph"/>
        <w:numPr>
          <w:ilvl w:val="0"/>
          <w:numId w:val="11"/>
        </w:numPr>
        <w:spacing w:after="0" w:line="240" w:lineRule="auto"/>
        <w:rPr>
          <w:rFonts w:eastAsia="Calibri"/>
        </w:rPr>
      </w:pPr>
      <w:r>
        <w:rPr>
          <w:rFonts w:eastAsia="Calibri"/>
        </w:rPr>
        <w:t xml:space="preserve">citizens, </w:t>
      </w:r>
      <w:r w:rsidRPr="00D35281">
        <w:rPr>
          <w:rFonts w:eastAsia="Calibri"/>
        </w:rPr>
        <w:t>consumers</w:t>
      </w:r>
    </w:p>
    <w:p w:rsidR="00A75157" w:rsidRDefault="00A75157" w:rsidP="00724B01">
      <w:pPr>
        <w:pStyle w:val="ListParagraph"/>
        <w:numPr>
          <w:ilvl w:val="0"/>
          <w:numId w:val="11"/>
        </w:numPr>
        <w:spacing w:after="0" w:line="240" w:lineRule="auto"/>
        <w:rPr>
          <w:rFonts w:eastAsia="Calibri"/>
        </w:rPr>
      </w:pPr>
      <w:r>
        <w:rPr>
          <w:rFonts w:eastAsia="Calibri"/>
        </w:rPr>
        <w:t xml:space="preserve">philanthropic foundations and funding networks </w:t>
      </w:r>
    </w:p>
    <w:p w:rsidR="00724B01" w:rsidRDefault="00724B01" w:rsidP="00724B01">
      <w:pPr>
        <w:pStyle w:val="ListParagraph"/>
        <w:numPr>
          <w:ilvl w:val="0"/>
          <w:numId w:val="11"/>
        </w:numPr>
        <w:spacing w:after="0" w:line="240" w:lineRule="auto"/>
        <w:rPr>
          <w:rFonts w:eastAsia="Calibri"/>
        </w:rPr>
      </w:pPr>
      <w:r>
        <w:rPr>
          <w:rFonts w:eastAsia="Calibri"/>
        </w:rPr>
        <w:t xml:space="preserve">social enterprises and </w:t>
      </w:r>
      <w:r w:rsidR="00A75157">
        <w:rPr>
          <w:rFonts w:eastAsia="Calibri"/>
        </w:rPr>
        <w:t xml:space="preserve">social impact </w:t>
      </w:r>
      <w:r>
        <w:rPr>
          <w:rFonts w:eastAsia="Calibri"/>
        </w:rPr>
        <w:t>start-ups</w:t>
      </w:r>
    </w:p>
    <w:p w:rsidR="00724B01" w:rsidRDefault="00724B01" w:rsidP="00724B01">
      <w:pPr>
        <w:pStyle w:val="ListParagraph"/>
        <w:numPr>
          <w:ilvl w:val="0"/>
          <w:numId w:val="11"/>
        </w:numPr>
        <w:spacing w:after="0" w:line="240" w:lineRule="auto"/>
        <w:rPr>
          <w:rFonts w:eastAsia="Calibri"/>
        </w:rPr>
      </w:pPr>
      <w:r>
        <w:rPr>
          <w:rFonts w:eastAsia="Calibri"/>
        </w:rPr>
        <w:t>social innovation networks, hubs, labs, incubators and accelerators</w:t>
      </w:r>
    </w:p>
    <w:p w:rsidR="00A75157" w:rsidRDefault="00A75157" w:rsidP="00724B01">
      <w:pPr>
        <w:pStyle w:val="ListParagraph"/>
        <w:numPr>
          <w:ilvl w:val="0"/>
          <w:numId w:val="11"/>
        </w:numPr>
        <w:spacing w:after="0" w:line="240" w:lineRule="auto"/>
        <w:rPr>
          <w:rFonts w:eastAsia="Calibri"/>
        </w:rPr>
      </w:pPr>
      <w:r>
        <w:rPr>
          <w:rFonts w:eastAsia="Calibri"/>
        </w:rPr>
        <w:t>digital and open government organizations and networks</w:t>
      </w:r>
    </w:p>
    <w:p w:rsidR="00724B01" w:rsidRPr="00D35281" w:rsidRDefault="00A75157" w:rsidP="00724B01">
      <w:pPr>
        <w:pStyle w:val="ListParagraph"/>
        <w:numPr>
          <w:ilvl w:val="0"/>
          <w:numId w:val="11"/>
        </w:numPr>
        <w:spacing w:after="0" w:line="240" w:lineRule="auto"/>
        <w:rPr>
          <w:rFonts w:eastAsia="Calibri"/>
        </w:rPr>
      </w:pPr>
      <w:r>
        <w:rPr>
          <w:rFonts w:eastAsia="Calibri"/>
        </w:rPr>
        <w:t>service organizations</w:t>
      </w:r>
    </w:p>
    <w:p w:rsidR="00724B01" w:rsidRDefault="00724B01" w:rsidP="00214EB9"/>
    <w:p w:rsidR="00A75157" w:rsidRPr="00A75157" w:rsidRDefault="00A75157" w:rsidP="00214EB9">
      <w:pPr>
        <w:rPr>
          <w:rFonts w:asciiTheme="majorHAnsi" w:hAnsiTheme="majorHAnsi"/>
          <w:sz w:val="24"/>
          <w:szCs w:val="24"/>
        </w:rPr>
      </w:pPr>
      <w:r w:rsidRPr="00A75157">
        <w:rPr>
          <w:rFonts w:asciiTheme="majorHAnsi" w:hAnsiTheme="majorHAnsi"/>
          <w:sz w:val="24"/>
          <w:szCs w:val="24"/>
        </w:rPr>
        <w:lastRenderedPageBreak/>
        <w:t>3.5 GOVERNANCE</w:t>
      </w:r>
    </w:p>
    <w:p w:rsidR="00A75157" w:rsidRDefault="00A75157" w:rsidP="00A75157">
      <w:pPr>
        <w:rPr>
          <w:rFonts w:eastAsia="Calibri" w:cs="Arial"/>
        </w:rPr>
      </w:pPr>
      <w:r w:rsidRPr="00D35281">
        <w:rPr>
          <w:rFonts w:eastAsia="Times New Roman"/>
          <w:szCs w:val="24"/>
        </w:rPr>
        <w:t>The</w:t>
      </w:r>
      <w:r>
        <w:rPr>
          <w:rFonts w:eastAsia="Calibri" w:cs="Arial"/>
        </w:rPr>
        <w:t xml:space="preserve"> SIU operates under NRCan’s </w:t>
      </w:r>
      <w:r w:rsidRPr="00D35281">
        <w:rPr>
          <w:rFonts w:eastAsia="Calibri" w:cs="Arial"/>
        </w:rPr>
        <w:t>Office of Energy Efficiency and as such is governed as part of that organization – albeit with numerous informal links and relationships.</w:t>
      </w:r>
    </w:p>
    <w:p w:rsidR="008E3990" w:rsidRPr="00D35281" w:rsidRDefault="008E3990" w:rsidP="00A75157">
      <w:pPr>
        <w:rPr>
          <w:rFonts w:eastAsia="Calibri" w:cs="Arial"/>
        </w:rPr>
      </w:pPr>
      <w:r>
        <w:rPr>
          <w:rFonts w:eastAsia="Calibri" w:cs="Arial"/>
        </w:rPr>
        <w:t xml:space="preserve">Informed by the first year of the Social Innovation Unit’s work, the OEE is considering a service transformation model to further embed continuous improvement and innovation into its policy development and delivery. </w:t>
      </w:r>
    </w:p>
    <w:p w:rsidR="00A75157" w:rsidRPr="00A75157" w:rsidRDefault="00A75157" w:rsidP="00214EB9">
      <w:pPr>
        <w:rPr>
          <w:rFonts w:asciiTheme="majorHAnsi" w:hAnsiTheme="majorHAnsi"/>
          <w:sz w:val="24"/>
          <w:szCs w:val="24"/>
        </w:rPr>
      </w:pPr>
      <w:r w:rsidRPr="00A75157">
        <w:rPr>
          <w:rFonts w:asciiTheme="majorHAnsi" w:hAnsiTheme="majorHAnsi"/>
          <w:sz w:val="24"/>
          <w:szCs w:val="24"/>
        </w:rPr>
        <w:t>3.6 RESOURCES</w:t>
      </w:r>
    </w:p>
    <w:p w:rsidR="00A75157" w:rsidRPr="007A7A74" w:rsidRDefault="00A75157" w:rsidP="00A75157">
      <w:pPr>
        <w:rPr>
          <w:rFonts w:eastAsia="Times New Roman"/>
          <w:szCs w:val="24"/>
        </w:rPr>
      </w:pPr>
      <w:r w:rsidRPr="007A7A74">
        <w:rPr>
          <w:rFonts w:eastAsia="Times New Roman"/>
          <w:szCs w:val="24"/>
        </w:rPr>
        <w:t>The OEE’s Social Innovation Partnerships pilot received 2 years of funding via Budget 2016</w:t>
      </w:r>
      <w:r w:rsidR="007A7A74" w:rsidRPr="007A7A74">
        <w:rPr>
          <w:rFonts w:eastAsia="Times New Roman"/>
          <w:szCs w:val="24"/>
        </w:rPr>
        <w:t xml:space="preserve"> and secured on-going funding as part of OEE’s core work in Budget 2017</w:t>
      </w:r>
      <w:r w:rsidRPr="007A7A74">
        <w:rPr>
          <w:rFonts w:eastAsia="Times New Roman"/>
          <w:szCs w:val="24"/>
        </w:rPr>
        <w:t>.</w:t>
      </w:r>
    </w:p>
    <w:tbl>
      <w:tblPr>
        <w:tblW w:w="9366" w:type="dxa"/>
        <w:tblInd w:w="234" w:type="dxa"/>
        <w:tblCellMar>
          <w:left w:w="0" w:type="dxa"/>
          <w:right w:w="0" w:type="dxa"/>
        </w:tblCellMar>
        <w:tblLook w:val="04A0" w:firstRow="1" w:lastRow="0" w:firstColumn="1" w:lastColumn="0" w:noHBand="0" w:noVBand="1"/>
      </w:tblPr>
      <w:tblGrid>
        <w:gridCol w:w="2966"/>
        <w:gridCol w:w="3200"/>
        <w:gridCol w:w="3200"/>
      </w:tblGrid>
      <w:tr w:rsidR="00A75157" w:rsidRPr="007A7A74" w:rsidTr="00054743">
        <w:trPr>
          <w:trHeight w:val="124"/>
        </w:trPr>
        <w:tc>
          <w:tcPr>
            <w:tcW w:w="2966" w:type="dxa"/>
            <w:tcBorders>
              <w:top w:val="single" w:sz="8" w:space="0" w:color="37474F"/>
              <w:left w:val="single" w:sz="8" w:space="0" w:color="37474F"/>
              <w:bottom w:val="single" w:sz="24" w:space="0" w:color="37474F"/>
              <w:right w:val="single" w:sz="8" w:space="0" w:color="37474F"/>
            </w:tcBorders>
            <w:shd w:val="clear" w:color="auto" w:fill="auto"/>
            <w:tcMar>
              <w:top w:w="72" w:type="dxa"/>
              <w:left w:w="144" w:type="dxa"/>
              <w:bottom w:w="72" w:type="dxa"/>
              <w:right w:w="144" w:type="dxa"/>
            </w:tcMar>
            <w:hideMark/>
          </w:tcPr>
          <w:p w:rsidR="00A75157" w:rsidRPr="007A7A74" w:rsidRDefault="007A7A74" w:rsidP="00054743">
            <w:pPr>
              <w:jc w:val="center"/>
              <w:rPr>
                <w:rFonts w:eastAsia="Times New Roman" w:cs="Arial"/>
                <w:color w:val="000000" w:themeColor="text1"/>
                <w:sz w:val="16"/>
                <w:szCs w:val="16"/>
              </w:rPr>
            </w:pPr>
            <w:r>
              <w:rPr>
                <w:rFonts w:eastAsia="Arial" w:cs="Arial"/>
                <w:b/>
                <w:bCs/>
                <w:color w:val="000000" w:themeColor="text1"/>
                <w:sz w:val="16"/>
                <w:szCs w:val="16"/>
              </w:rPr>
              <w:t>Core Team</w:t>
            </w:r>
          </w:p>
        </w:tc>
        <w:tc>
          <w:tcPr>
            <w:tcW w:w="3200" w:type="dxa"/>
            <w:tcBorders>
              <w:top w:val="single" w:sz="8" w:space="0" w:color="37474F"/>
              <w:left w:val="single" w:sz="8" w:space="0" w:color="37474F"/>
              <w:bottom w:val="single" w:sz="24" w:space="0" w:color="37474F"/>
              <w:right w:val="single" w:sz="8" w:space="0" w:color="37474F"/>
            </w:tcBorders>
            <w:shd w:val="clear" w:color="auto" w:fill="auto"/>
            <w:tcMar>
              <w:top w:w="72" w:type="dxa"/>
              <w:left w:w="144" w:type="dxa"/>
              <w:bottom w:w="72" w:type="dxa"/>
              <w:right w:w="144" w:type="dxa"/>
            </w:tcMar>
            <w:hideMark/>
          </w:tcPr>
          <w:p w:rsidR="00A75157" w:rsidRPr="007A7A74" w:rsidRDefault="00A75157" w:rsidP="00054743">
            <w:pPr>
              <w:jc w:val="center"/>
              <w:rPr>
                <w:rFonts w:eastAsia="Times New Roman" w:cs="Arial"/>
                <w:color w:val="000000" w:themeColor="text1"/>
                <w:sz w:val="16"/>
                <w:szCs w:val="16"/>
              </w:rPr>
            </w:pPr>
            <w:r w:rsidRPr="007A7A74">
              <w:rPr>
                <w:rFonts w:eastAsia="Arial" w:cs="Arial"/>
                <w:b/>
                <w:bCs/>
                <w:color w:val="000000" w:themeColor="text1"/>
                <w:sz w:val="16"/>
                <w:szCs w:val="16"/>
              </w:rPr>
              <w:t>O&amp;M</w:t>
            </w:r>
          </w:p>
        </w:tc>
        <w:tc>
          <w:tcPr>
            <w:tcW w:w="3200" w:type="dxa"/>
            <w:tcBorders>
              <w:top w:val="single" w:sz="8" w:space="0" w:color="37474F"/>
              <w:left w:val="single" w:sz="8" w:space="0" w:color="37474F"/>
              <w:bottom w:val="single" w:sz="24" w:space="0" w:color="37474F"/>
              <w:right w:val="single" w:sz="8" w:space="0" w:color="37474F"/>
            </w:tcBorders>
            <w:shd w:val="clear" w:color="auto" w:fill="auto"/>
            <w:tcMar>
              <w:top w:w="72" w:type="dxa"/>
              <w:left w:w="144" w:type="dxa"/>
              <w:bottom w:w="72" w:type="dxa"/>
              <w:right w:w="144" w:type="dxa"/>
            </w:tcMar>
            <w:hideMark/>
          </w:tcPr>
          <w:p w:rsidR="00A75157" w:rsidRPr="007A7A74" w:rsidRDefault="00A75157" w:rsidP="00054743">
            <w:pPr>
              <w:jc w:val="center"/>
              <w:rPr>
                <w:rFonts w:eastAsia="Times New Roman" w:cs="Arial"/>
                <w:color w:val="000000" w:themeColor="text1"/>
                <w:sz w:val="16"/>
                <w:szCs w:val="16"/>
              </w:rPr>
            </w:pPr>
            <w:r w:rsidRPr="007A7A74">
              <w:rPr>
                <w:rFonts w:eastAsia="Arial" w:cs="Arial"/>
                <w:b/>
                <w:bCs/>
                <w:color w:val="000000" w:themeColor="text1"/>
                <w:sz w:val="16"/>
                <w:szCs w:val="16"/>
              </w:rPr>
              <w:t>CAs</w:t>
            </w:r>
          </w:p>
        </w:tc>
      </w:tr>
      <w:tr w:rsidR="00A75157" w:rsidRPr="007A7A74" w:rsidTr="00054743">
        <w:trPr>
          <w:trHeight w:val="16"/>
        </w:trPr>
        <w:tc>
          <w:tcPr>
            <w:tcW w:w="2966" w:type="dxa"/>
            <w:tcBorders>
              <w:top w:val="single" w:sz="24" w:space="0" w:color="37474F"/>
              <w:left w:val="single" w:sz="8" w:space="0" w:color="37474F"/>
              <w:bottom w:val="single" w:sz="8" w:space="0" w:color="37474F"/>
              <w:right w:val="single" w:sz="8" w:space="0" w:color="37474F"/>
            </w:tcBorders>
            <w:shd w:val="clear" w:color="auto" w:fill="auto"/>
            <w:tcMar>
              <w:top w:w="72" w:type="dxa"/>
              <w:left w:w="144" w:type="dxa"/>
              <w:bottom w:w="72" w:type="dxa"/>
              <w:right w:w="144" w:type="dxa"/>
            </w:tcMar>
            <w:hideMark/>
          </w:tcPr>
          <w:p w:rsidR="00A75157" w:rsidRPr="007A7A74" w:rsidRDefault="007A7A74" w:rsidP="00054743">
            <w:pPr>
              <w:jc w:val="center"/>
              <w:rPr>
                <w:rFonts w:eastAsia="Times New Roman" w:cs="Arial"/>
                <w:color w:val="000000" w:themeColor="text1"/>
                <w:sz w:val="16"/>
                <w:szCs w:val="16"/>
              </w:rPr>
            </w:pPr>
            <w:r>
              <w:rPr>
                <w:rFonts w:eastAsia="Arial" w:cs="Arial"/>
                <w:color w:val="000000" w:themeColor="text1"/>
                <w:sz w:val="16"/>
                <w:szCs w:val="16"/>
              </w:rPr>
              <w:t>4 FTEs</w:t>
            </w:r>
          </w:p>
        </w:tc>
        <w:tc>
          <w:tcPr>
            <w:tcW w:w="3200" w:type="dxa"/>
            <w:tcBorders>
              <w:top w:val="single" w:sz="24" w:space="0" w:color="37474F"/>
              <w:left w:val="single" w:sz="8" w:space="0" w:color="37474F"/>
              <w:bottom w:val="single" w:sz="8" w:space="0" w:color="37474F"/>
              <w:right w:val="single" w:sz="8" w:space="0" w:color="37474F"/>
            </w:tcBorders>
            <w:shd w:val="clear" w:color="auto" w:fill="auto"/>
            <w:tcMar>
              <w:top w:w="72" w:type="dxa"/>
              <w:left w:w="144" w:type="dxa"/>
              <w:bottom w:w="72" w:type="dxa"/>
              <w:right w:w="144" w:type="dxa"/>
            </w:tcMar>
            <w:hideMark/>
          </w:tcPr>
          <w:p w:rsidR="00A75157" w:rsidRPr="007A7A74" w:rsidRDefault="00A75157" w:rsidP="00054743">
            <w:pPr>
              <w:jc w:val="center"/>
              <w:rPr>
                <w:rFonts w:eastAsia="Times New Roman" w:cs="Arial"/>
                <w:color w:val="000000" w:themeColor="text1"/>
                <w:sz w:val="16"/>
                <w:szCs w:val="16"/>
              </w:rPr>
            </w:pPr>
            <w:r w:rsidRPr="007A7A74">
              <w:rPr>
                <w:rFonts w:eastAsia="Arial" w:cs="Arial"/>
                <w:color w:val="000000" w:themeColor="text1"/>
                <w:sz w:val="16"/>
                <w:szCs w:val="16"/>
              </w:rPr>
              <w:t>616K/year</w:t>
            </w:r>
          </w:p>
        </w:tc>
        <w:tc>
          <w:tcPr>
            <w:tcW w:w="3200" w:type="dxa"/>
            <w:tcBorders>
              <w:top w:val="single" w:sz="24" w:space="0" w:color="37474F"/>
              <w:left w:val="single" w:sz="8" w:space="0" w:color="37474F"/>
              <w:bottom w:val="single" w:sz="8" w:space="0" w:color="37474F"/>
              <w:right w:val="single" w:sz="8" w:space="0" w:color="37474F"/>
            </w:tcBorders>
            <w:shd w:val="clear" w:color="auto" w:fill="auto"/>
            <w:tcMar>
              <w:top w:w="72" w:type="dxa"/>
              <w:left w:w="144" w:type="dxa"/>
              <w:bottom w:w="72" w:type="dxa"/>
              <w:right w:w="144" w:type="dxa"/>
            </w:tcMar>
            <w:hideMark/>
          </w:tcPr>
          <w:p w:rsidR="00A75157" w:rsidRPr="007A7A74" w:rsidRDefault="00A75157" w:rsidP="00054743">
            <w:pPr>
              <w:jc w:val="center"/>
              <w:rPr>
                <w:rFonts w:eastAsia="Times New Roman" w:cs="Arial"/>
                <w:color w:val="000000" w:themeColor="text1"/>
                <w:sz w:val="16"/>
                <w:szCs w:val="16"/>
              </w:rPr>
            </w:pPr>
            <w:r w:rsidRPr="007A7A74">
              <w:rPr>
                <w:rFonts w:eastAsia="Arial" w:cs="Arial"/>
                <w:color w:val="000000" w:themeColor="text1"/>
                <w:sz w:val="16"/>
                <w:szCs w:val="16"/>
              </w:rPr>
              <w:t>245K/year</w:t>
            </w:r>
          </w:p>
        </w:tc>
      </w:tr>
    </w:tbl>
    <w:p w:rsidR="00CE08D2" w:rsidRDefault="00CE08D2" w:rsidP="00A75157">
      <w:pPr>
        <w:rPr>
          <w:rFonts w:asciiTheme="majorHAnsi" w:hAnsiTheme="majorHAnsi"/>
          <w:sz w:val="24"/>
          <w:szCs w:val="24"/>
        </w:rPr>
      </w:pPr>
    </w:p>
    <w:p w:rsidR="00CE08D2" w:rsidRDefault="00A75157" w:rsidP="00A75157">
      <w:pPr>
        <w:rPr>
          <w:rFonts w:asciiTheme="majorHAnsi" w:hAnsiTheme="majorHAnsi"/>
          <w:sz w:val="24"/>
          <w:szCs w:val="24"/>
        </w:rPr>
      </w:pPr>
      <w:r w:rsidRPr="00A75157">
        <w:rPr>
          <w:rFonts w:asciiTheme="majorHAnsi" w:hAnsiTheme="majorHAnsi"/>
          <w:sz w:val="24"/>
          <w:szCs w:val="24"/>
        </w:rPr>
        <w:t>3.7. THE PROGRAM THEORY FOR THE SOCIAL INNOVATION PARTNERSHIPS PROGRAM</w:t>
      </w:r>
    </w:p>
    <w:p w:rsidR="00CE08D2" w:rsidRDefault="00A75157" w:rsidP="00A75157">
      <w:pPr>
        <w:rPr>
          <w:rFonts w:eastAsia="Calibri" w:cstheme="minorHAnsi"/>
        </w:rPr>
      </w:pPr>
      <w:r w:rsidRPr="00D35281">
        <w:rPr>
          <w:rFonts w:eastAsia="Calibri" w:cstheme="minorHAnsi"/>
        </w:rPr>
        <w:t>Program theories and theories of change can take many shapes and forms. The following chart depicts the SIU’s</w:t>
      </w:r>
      <w:r>
        <w:rPr>
          <w:rFonts w:eastAsia="Calibri" w:cstheme="minorHAnsi"/>
        </w:rPr>
        <w:t xml:space="preserve"> </w:t>
      </w:r>
      <w:r w:rsidRPr="007F0C46">
        <w:rPr>
          <w:rFonts w:eastAsia="Calibri" w:cstheme="minorHAnsi"/>
          <w:i/>
        </w:rPr>
        <w:t>overarching</w:t>
      </w:r>
      <w:r w:rsidRPr="00D35281">
        <w:rPr>
          <w:rFonts w:eastAsia="Calibri" w:cstheme="minorHAnsi"/>
        </w:rPr>
        <w:t xml:space="preserve"> theory of change</w:t>
      </w:r>
      <w:r w:rsidR="007A7A74">
        <w:rPr>
          <w:rFonts w:eastAsia="Calibri" w:cstheme="minorHAnsi"/>
        </w:rPr>
        <w:t>, which includes three interrelated value propositions with corresponding results information to monitor and demonstrate learning and performance over time</w:t>
      </w:r>
      <w:r w:rsidRPr="00D35281">
        <w:rPr>
          <w:rFonts w:eastAsia="Calibri" w:cstheme="minorHAnsi"/>
        </w:rPr>
        <w:t>:</w:t>
      </w:r>
    </w:p>
    <w:p w:rsidR="001324D0" w:rsidRDefault="00110C8D" w:rsidP="00110C8D">
      <w:pPr>
        <w:pStyle w:val="ListParagraph"/>
        <w:numPr>
          <w:ilvl w:val="0"/>
          <w:numId w:val="18"/>
        </w:numPr>
        <w:spacing w:line="276" w:lineRule="auto"/>
        <w:rPr>
          <w:rFonts w:eastAsia="Calibri" w:cstheme="minorHAnsi"/>
        </w:rPr>
      </w:pPr>
      <w:r>
        <w:rPr>
          <w:rFonts w:eastAsia="Calibri" w:cstheme="minorHAnsi"/>
        </w:rPr>
        <w:t>Build r</w:t>
      </w:r>
      <w:r w:rsidR="007A7A74" w:rsidRPr="00110C8D">
        <w:rPr>
          <w:rFonts w:eastAsia="Calibri" w:cstheme="minorHAnsi"/>
        </w:rPr>
        <w:t>ela</w:t>
      </w:r>
      <w:r>
        <w:rPr>
          <w:rFonts w:eastAsia="Calibri" w:cstheme="minorHAnsi"/>
        </w:rPr>
        <w:t>tionships &amp; c</w:t>
      </w:r>
      <w:r w:rsidR="007A7A74" w:rsidRPr="00110C8D">
        <w:rPr>
          <w:rFonts w:eastAsia="Calibri" w:cstheme="minorHAnsi"/>
        </w:rPr>
        <w:t xml:space="preserve">apacity </w:t>
      </w:r>
      <w:r>
        <w:rPr>
          <w:rFonts w:eastAsia="Calibri" w:cstheme="minorHAnsi"/>
        </w:rPr>
        <w:t>for policy improvement &amp; i</w:t>
      </w:r>
      <w:r w:rsidR="007A7A74" w:rsidRPr="00110C8D">
        <w:rPr>
          <w:rFonts w:eastAsia="Calibri" w:cstheme="minorHAnsi"/>
        </w:rPr>
        <w:t>nnovation</w:t>
      </w:r>
      <w:r>
        <w:rPr>
          <w:rFonts w:eastAsia="Calibri" w:cstheme="minorHAnsi"/>
        </w:rPr>
        <w:t>;</w:t>
      </w:r>
    </w:p>
    <w:p w:rsidR="00E41961" w:rsidRDefault="00110C8D" w:rsidP="00110C8D">
      <w:pPr>
        <w:pStyle w:val="ListParagraph"/>
        <w:numPr>
          <w:ilvl w:val="0"/>
          <w:numId w:val="18"/>
        </w:numPr>
        <w:spacing w:line="276" w:lineRule="auto"/>
        <w:rPr>
          <w:rFonts w:eastAsia="Calibri" w:cstheme="minorHAnsi"/>
        </w:rPr>
      </w:pPr>
      <w:r>
        <w:rPr>
          <w:rFonts w:eastAsia="Calibri" w:cstheme="minorHAnsi"/>
        </w:rPr>
        <w:t>Co-create &amp; t</w:t>
      </w:r>
      <w:r w:rsidRPr="00110C8D">
        <w:rPr>
          <w:rFonts w:eastAsia="Calibri" w:cstheme="minorHAnsi"/>
        </w:rPr>
        <w:t>est</w:t>
      </w:r>
      <w:r>
        <w:rPr>
          <w:rFonts w:eastAsia="Calibri" w:cstheme="minorHAnsi"/>
        </w:rPr>
        <w:t xml:space="preserve"> policy insights &amp; i</w:t>
      </w:r>
      <w:r w:rsidRPr="00110C8D">
        <w:rPr>
          <w:rFonts w:eastAsia="Calibri" w:cstheme="minorHAnsi"/>
        </w:rPr>
        <w:t>nterventions</w:t>
      </w:r>
      <w:r>
        <w:rPr>
          <w:rFonts w:eastAsia="Calibri" w:cstheme="minorHAnsi"/>
        </w:rPr>
        <w:t>; and</w:t>
      </w:r>
    </w:p>
    <w:p w:rsidR="000E6CF8" w:rsidRDefault="00DF5A59" w:rsidP="00DF5A59">
      <w:pPr>
        <w:pStyle w:val="ListParagraph"/>
        <w:numPr>
          <w:ilvl w:val="0"/>
          <w:numId w:val="18"/>
        </w:numPr>
        <w:spacing w:line="276" w:lineRule="auto"/>
        <w:rPr>
          <w:rFonts w:eastAsia="Calibri" w:cstheme="minorHAnsi"/>
        </w:rPr>
      </w:pPr>
      <w:r>
        <w:rPr>
          <w:rFonts w:eastAsia="Calibri" w:cstheme="minorHAnsi"/>
        </w:rPr>
        <w:t>Implement what w</w:t>
      </w:r>
      <w:r w:rsidRPr="00DF5A59">
        <w:rPr>
          <w:rFonts w:eastAsia="Calibri" w:cstheme="minorHAnsi"/>
        </w:rPr>
        <w:t>orks</w:t>
      </w:r>
      <w:r>
        <w:rPr>
          <w:rFonts w:eastAsia="Calibri" w:cstheme="minorHAnsi"/>
        </w:rPr>
        <w:t xml:space="preserve"> for policy c</w:t>
      </w:r>
      <w:r w:rsidRPr="00DF5A59">
        <w:rPr>
          <w:rFonts w:eastAsia="Calibri" w:cstheme="minorHAnsi"/>
        </w:rPr>
        <w:t>hange</w:t>
      </w:r>
      <w:r>
        <w:rPr>
          <w:rFonts w:eastAsia="Calibri" w:cstheme="minorHAnsi"/>
        </w:rPr>
        <w:t>.</w:t>
      </w:r>
    </w:p>
    <w:p w:rsidR="00B76E1F" w:rsidRDefault="000E6CF8" w:rsidP="00B76E1F">
      <w:pPr>
        <w:spacing w:line="276" w:lineRule="auto"/>
        <w:rPr>
          <w:rFonts w:eastAsia="Calibri" w:cstheme="minorHAnsi"/>
        </w:rPr>
      </w:pPr>
      <w:r>
        <w:rPr>
          <w:rFonts w:eastAsia="Calibri" w:cstheme="minorHAnsi"/>
        </w:rPr>
        <w:t xml:space="preserve">This model can be </w:t>
      </w:r>
      <w:r w:rsidR="00B76E1F">
        <w:rPr>
          <w:rFonts w:eastAsia="Calibri" w:cstheme="minorHAnsi"/>
        </w:rPr>
        <w:t>adapted and applied</w:t>
      </w:r>
      <w:r>
        <w:rPr>
          <w:rFonts w:eastAsia="Calibri" w:cstheme="minorHAnsi"/>
        </w:rPr>
        <w:t xml:space="preserve"> for each Social Innovation project</w:t>
      </w:r>
      <w:r w:rsidR="00110C8D" w:rsidRPr="000E6CF8">
        <w:rPr>
          <w:rFonts w:eastAsia="Calibri" w:cstheme="minorHAnsi"/>
        </w:rPr>
        <w:t xml:space="preserve"> </w:t>
      </w:r>
      <w:r w:rsidR="00B76E1F">
        <w:rPr>
          <w:rFonts w:eastAsia="Calibri" w:cstheme="minorHAnsi"/>
        </w:rPr>
        <w:t xml:space="preserve">and provides the frame to tell and demonstrate the overall performance story. </w:t>
      </w:r>
    </w:p>
    <w:p w:rsidR="005B647C" w:rsidRDefault="00B76E1F" w:rsidP="00B76E1F">
      <w:pPr>
        <w:spacing w:line="276" w:lineRule="auto"/>
        <w:rPr>
          <w:rFonts w:eastAsia="Calibri" w:cstheme="minorHAnsi"/>
        </w:rPr>
      </w:pPr>
      <w:r>
        <w:rPr>
          <w:rFonts w:eastAsia="Calibri" w:cstheme="minorHAnsi"/>
        </w:rPr>
        <w:t>Note that it allows for relationship building, co-creation and testing over time as a means to understand contexts and needs and learn from what works prior to implementing policy change.</w:t>
      </w:r>
    </w:p>
    <w:p w:rsidR="00CE08D2" w:rsidRPr="00CE08D2" w:rsidRDefault="00CE08D2" w:rsidP="00CE08D2">
      <w:pPr>
        <w:rPr>
          <w:rFonts w:eastAsia="Calibri" w:cstheme="minorHAnsi"/>
        </w:rPr>
      </w:pPr>
      <w:r w:rsidRPr="00D35281">
        <w:rPr>
          <w:rFonts w:eastAsia="Calibri" w:cstheme="minorHAnsi"/>
        </w:rPr>
        <w:lastRenderedPageBreak/>
        <w:t>As such this theory is subject to both a theory of implementation o</w:t>
      </w:r>
      <w:r>
        <w:rPr>
          <w:rFonts w:eastAsia="Calibri" w:cstheme="minorHAnsi"/>
        </w:rPr>
        <w:t>r action and a theory of change:</w:t>
      </w:r>
    </w:p>
    <w:p w:rsidR="00CE08D2" w:rsidRDefault="00CE08D2" w:rsidP="00CE08D2">
      <w:pPr>
        <w:pStyle w:val="ListParagraph"/>
        <w:numPr>
          <w:ilvl w:val="0"/>
          <w:numId w:val="12"/>
        </w:numPr>
        <w:spacing w:after="0" w:line="240" w:lineRule="auto"/>
        <w:contextualSpacing w:val="0"/>
      </w:pPr>
      <w:r w:rsidRPr="00D35281">
        <w:rPr>
          <w:b/>
          <w:i/>
        </w:rPr>
        <w:t>The theory of action or implementation</w:t>
      </w:r>
      <w:r w:rsidRPr="00D35281">
        <w:rPr>
          <w:rStyle w:val="FootnoteReference"/>
          <w:b/>
          <w:i/>
        </w:rPr>
        <w:footnoteReference w:id="18"/>
      </w:r>
      <w:r w:rsidRPr="00D35281">
        <w:t xml:space="preserve"> for the SIU is that by commissioning a study or trials or research and then engaging in outreach and promotion in collaboration with other key interested parties that this will form the most cost-effective delivery system in terms of addressing the need to take-up and use of social innovation related to energy use in Canada.  As such, this theory puts a premium on the SIU capacity to deliver credible trial projects and evidence.  The key factors and assumptions which typically need to be considered for a theory of action such as this one includes the following:</w:t>
      </w:r>
    </w:p>
    <w:p w:rsidR="00CE08D2" w:rsidRPr="00D35281" w:rsidRDefault="00CE08D2" w:rsidP="00CE08D2">
      <w:pPr>
        <w:pStyle w:val="ListParagraph"/>
        <w:spacing w:after="0" w:line="240" w:lineRule="auto"/>
        <w:contextualSpacing w:val="0"/>
      </w:pPr>
    </w:p>
    <w:p w:rsidR="00CE08D2" w:rsidRPr="00D35281" w:rsidRDefault="00CE08D2" w:rsidP="00CE08D2">
      <w:pPr>
        <w:pStyle w:val="ListParagraph"/>
        <w:numPr>
          <w:ilvl w:val="1"/>
          <w:numId w:val="12"/>
        </w:numPr>
        <w:spacing w:after="0" w:line="240" w:lineRule="auto"/>
        <w:contextualSpacing w:val="0"/>
      </w:pPr>
      <w:r w:rsidRPr="00D35281">
        <w:t>Adequacy, dependability and credibility of resourcing (study proponents, contractors etc.).</w:t>
      </w:r>
    </w:p>
    <w:p w:rsidR="00CE08D2" w:rsidRPr="00D35281" w:rsidRDefault="00CE08D2" w:rsidP="00CE08D2">
      <w:pPr>
        <w:pStyle w:val="ListParagraph"/>
        <w:numPr>
          <w:ilvl w:val="1"/>
          <w:numId w:val="12"/>
        </w:numPr>
        <w:spacing w:after="0" w:line="240" w:lineRule="auto"/>
        <w:contextualSpacing w:val="0"/>
      </w:pPr>
      <w:r w:rsidRPr="00D35281">
        <w:t>All aspects of program delivery controlled or influenced by the SIU staff that are needed to achieve outcomes and sufficient flexibility to make delivery work in the most appropriate way.</w:t>
      </w:r>
    </w:p>
    <w:p w:rsidR="00CE08D2" w:rsidRDefault="00CE08D2" w:rsidP="00CE08D2">
      <w:pPr>
        <w:pStyle w:val="ListParagraph"/>
        <w:numPr>
          <w:ilvl w:val="1"/>
          <w:numId w:val="12"/>
        </w:numPr>
        <w:spacing w:after="0" w:line="240" w:lineRule="auto"/>
        <w:contextualSpacing w:val="0"/>
      </w:pPr>
      <w:r w:rsidRPr="00D35281">
        <w:t>Governance and management activities and processes controlled or influenced by program management that are needed to support project design, delivery, promotion and other features to achieve outcomes. This includes the clarity and appropriateness of roles and responsibilities, relationship management – including communications, staffing, leadership, monitoring progress and project promotion / socialization.</w:t>
      </w:r>
    </w:p>
    <w:p w:rsidR="00CE08D2" w:rsidRPr="00D35281" w:rsidRDefault="00CE08D2" w:rsidP="00CE08D2">
      <w:pPr>
        <w:pStyle w:val="ListParagraph"/>
        <w:spacing w:after="0" w:line="240" w:lineRule="auto"/>
        <w:ind w:left="1440"/>
        <w:contextualSpacing w:val="0"/>
      </w:pPr>
    </w:p>
    <w:p w:rsidR="00CE08D2" w:rsidRDefault="00CE08D2" w:rsidP="00CE08D2">
      <w:pPr>
        <w:pStyle w:val="ListParagraph"/>
        <w:keepNext/>
        <w:keepLines/>
        <w:numPr>
          <w:ilvl w:val="0"/>
          <w:numId w:val="12"/>
        </w:numPr>
        <w:spacing w:after="0" w:line="240" w:lineRule="auto"/>
        <w:contextualSpacing w:val="0"/>
      </w:pPr>
      <w:r w:rsidRPr="00D35281">
        <w:rPr>
          <w:b/>
          <w:i/>
        </w:rPr>
        <w:t>The theory of outreach, information, advice</w:t>
      </w:r>
      <w:r w:rsidRPr="00D35281">
        <w:rPr>
          <w:rStyle w:val="FootnoteReference"/>
          <w:b/>
          <w:i/>
        </w:rPr>
        <w:footnoteReference w:id="19"/>
      </w:r>
      <w:r w:rsidRPr="00D35281">
        <w:t xml:space="preserve"> </w:t>
      </w:r>
      <w:r w:rsidRPr="00D35281">
        <w:rPr>
          <w:b/>
          <w:i/>
        </w:rPr>
        <w:t>and</w:t>
      </w:r>
      <w:r w:rsidRPr="00D35281">
        <w:t xml:space="preserve"> in places </w:t>
      </w:r>
      <w:r w:rsidRPr="00D35281">
        <w:rPr>
          <w:b/>
          <w:i/>
        </w:rPr>
        <w:t>education</w:t>
      </w:r>
      <w:r w:rsidRPr="00D35281">
        <w:t xml:space="preserve"> applies to a wide range of stakeholders across the system as noted in the theory chart at the start of this section. The theory suggests that behavior is subject to reasoned actions and planned behavior and therefore refers to a results chain logic that follows an awareness, engagement and then constructive reaction, leading to improved knowledge and understanding which in turn leads to behaviors (adopted or sustained provision or use of SIU projects) which then can be traced to positive benefits or impacts. The key factors and assumptions which should be considered for this type of theory of change include: </w:t>
      </w:r>
    </w:p>
    <w:p w:rsidR="00CE08D2" w:rsidRPr="00D35281" w:rsidRDefault="00CE08D2" w:rsidP="00CE08D2">
      <w:pPr>
        <w:pStyle w:val="ListParagraph"/>
        <w:keepNext/>
        <w:keepLines/>
        <w:spacing w:after="0" w:line="240" w:lineRule="auto"/>
        <w:contextualSpacing w:val="0"/>
      </w:pPr>
    </w:p>
    <w:p w:rsidR="00CE08D2" w:rsidRPr="00D35281" w:rsidRDefault="00CE08D2" w:rsidP="00CE08D2">
      <w:pPr>
        <w:pStyle w:val="ListParagraph"/>
        <w:numPr>
          <w:ilvl w:val="1"/>
          <w:numId w:val="12"/>
        </w:numPr>
        <w:spacing w:after="0" w:line="240" w:lineRule="auto"/>
        <w:contextualSpacing w:val="0"/>
      </w:pPr>
      <w:r w:rsidRPr="00D35281">
        <w:t>Targeting / reaching the right people (i.e. potential partnerships).</w:t>
      </w:r>
    </w:p>
    <w:p w:rsidR="00CE08D2" w:rsidRPr="00D35281" w:rsidRDefault="00CE08D2" w:rsidP="00CE08D2">
      <w:pPr>
        <w:pStyle w:val="ListParagraph"/>
        <w:numPr>
          <w:ilvl w:val="1"/>
          <w:numId w:val="12"/>
        </w:numPr>
        <w:spacing w:after="0" w:line="240" w:lineRule="auto"/>
        <w:contextualSpacing w:val="0"/>
      </w:pPr>
      <w:r w:rsidRPr="00D35281">
        <w:t>Using the right combination of media and the principles of innovation diffusion and knowledge translation. (See section 2.)</w:t>
      </w:r>
    </w:p>
    <w:p w:rsidR="00CE08D2" w:rsidRPr="00D35281" w:rsidRDefault="00CE08D2" w:rsidP="00CE08D2">
      <w:pPr>
        <w:pStyle w:val="ListParagraph"/>
        <w:numPr>
          <w:ilvl w:val="1"/>
          <w:numId w:val="12"/>
        </w:numPr>
        <w:spacing w:after="0" w:line="240" w:lineRule="auto"/>
        <w:contextualSpacing w:val="0"/>
      </w:pPr>
      <w:r w:rsidRPr="00D35281">
        <w:t>Credibility of the information sources and balanced messaging with target information recipients.</w:t>
      </w:r>
    </w:p>
    <w:p w:rsidR="00CE08D2" w:rsidRPr="00D35281" w:rsidRDefault="00CE08D2" w:rsidP="00CE08D2">
      <w:pPr>
        <w:pStyle w:val="ListParagraph"/>
        <w:numPr>
          <w:ilvl w:val="1"/>
          <w:numId w:val="12"/>
        </w:numPr>
        <w:spacing w:after="0" w:line="240" w:lineRule="auto"/>
        <w:contextualSpacing w:val="0"/>
      </w:pPr>
      <w:r w:rsidRPr="00D35281">
        <w:t>Coincidence between outcomes desired by all key participants.</w:t>
      </w:r>
    </w:p>
    <w:p w:rsidR="00CE08D2" w:rsidRDefault="00CE08D2" w:rsidP="00CE08D2">
      <w:pPr>
        <w:pStyle w:val="ListParagraph"/>
        <w:numPr>
          <w:ilvl w:val="1"/>
          <w:numId w:val="12"/>
        </w:numPr>
        <w:spacing w:after="0" w:line="240" w:lineRule="auto"/>
        <w:contextualSpacing w:val="0"/>
      </w:pPr>
      <w:r w:rsidRPr="00D35281">
        <w:t xml:space="preserve">The appropriate use of feedback about success arising from early responses to the study so as to help recruit more participants. </w:t>
      </w:r>
    </w:p>
    <w:p w:rsidR="00CE08D2" w:rsidRPr="00CE08D2" w:rsidRDefault="00CE08D2" w:rsidP="00CE08D2">
      <w:pPr>
        <w:pStyle w:val="ListParagraph"/>
        <w:spacing w:after="0" w:line="240" w:lineRule="auto"/>
        <w:ind w:left="1440"/>
        <w:contextualSpacing w:val="0"/>
      </w:pPr>
    </w:p>
    <w:p w:rsidR="00CE08D2" w:rsidRPr="00D35281" w:rsidRDefault="00CE08D2" w:rsidP="00CE08D2">
      <w:pPr>
        <w:rPr>
          <w:rFonts w:eastAsia="Calibri" w:cstheme="minorHAnsi"/>
        </w:rPr>
      </w:pPr>
      <w:r w:rsidRPr="00D35281">
        <w:rPr>
          <w:rFonts w:eastAsia="Calibri" w:cstheme="minorHAnsi"/>
        </w:rPr>
        <w:lastRenderedPageBreak/>
        <w:t>As noted in section 2, just as the nature of the SIU projects is emergent and dynamic, so must the theory discussion consider alternative mental models to help explain the nature and rates of evidence use and innovation adoption.  It is anticipated that key factors and assumptions will be adjusted as more is cumulatively learned from project experience.</w:t>
      </w:r>
    </w:p>
    <w:p w:rsidR="00A75157" w:rsidRDefault="00CE08D2" w:rsidP="00CE08D2">
      <w:pPr>
        <w:rPr>
          <w:rFonts w:eastAsia="Calibri" w:cstheme="minorHAnsi"/>
        </w:rPr>
      </w:pPr>
      <w:r w:rsidRPr="00D35281">
        <w:rPr>
          <w:rFonts w:eastAsia="Calibri" w:cstheme="minorHAnsi"/>
        </w:rPr>
        <w:t xml:space="preserve">Practically speaking, while these models are helpful for thinking about the SIU’s value proposition, key theories and the assumption and factors that go along with it, the exigencies of developmental evaluation suggest that a static logic model or change theory is not sufficient. For this reason it is recommended that results plan models be </w:t>
      </w:r>
      <w:r w:rsidR="007F0C46">
        <w:rPr>
          <w:rFonts w:eastAsia="Calibri" w:cstheme="minorHAnsi"/>
        </w:rPr>
        <w:t>developed for SIU projects (and functions if significant)</w:t>
      </w:r>
      <w:r w:rsidR="00CF345A">
        <w:rPr>
          <w:rFonts w:eastAsia="Calibri" w:cstheme="minorHAnsi"/>
        </w:rPr>
        <w:t xml:space="preserve"> </w:t>
      </w:r>
      <w:r w:rsidRPr="00D35281">
        <w:rPr>
          <w:rFonts w:eastAsia="Calibri" w:cstheme="minorHAnsi"/>
        </w:rPr>
        <w:t>using the</w:t>
      </w:r>
      <w:r w:rsidR="00CF345A">
        <w:rPr>
          <w:rFonts w:eastAsia="Calibri" w:cstheme="minorHAnsi"/>
        </w:rPr>
        <w:t xml:space="preserve"> following performance measurement framework and guidance material in </w:t>
      </w:r>
      <w:r w:rsidR="00CF345A" w:rsidRPr="007F0C46">
        <w:rPr>
          <w:rFonts w:eastAsia="Calibri" w:cstheme="minorHAnsi"/>
          <w:b/>
        </w:rPr>
        <w:t>Annex B</w:t>
      </w:r>
      <w:r w:rsidRPr="00D35281">
        <w:rPr>
          <w:rFonts w:eastAsia="Calibri" w:cstheme="minorHAnsi"/>
        </w:rPr>
        <w:t>.</w:t>
      </w:r>
    </w:p>
    <w:p w:rsidR="008E3990" w:rsidRDefault="008E3990" w:rsidP="00AE1ABC">
      <w:pPr>
        <w:jc w:val="center"/>
        <w:rPr>
          <w:rFonts w:eastAsia="Calibri" w:cstheme="minorHAnsi"/>
        </w:rPr>
      </w:pPr>
      <w:r w:rsidRPr="00D35281">
        <w:rPr>
          <w:rFonts w:ascii="Calibri" w:eastAsia="Calibri" w:hAnsi="Calibri" w:cs="Calibri"/>
          <w:color w:val="1F497D"/>
        </w:rPr>
        <w:object w:dxaOrig="7195" w:dyaOrig="54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25pt;height:368.25pt" o:ole="">
            <v:imagedata r:id="rId16" o:title=""/>
          </v:shape>
          <o:OLEObject Type="Embed" ProgID="PowerPoint.Slide.12" ShapeID="_x0000_i1025" DrawAspect="Content" ObjectID="_1598075217" r:id="rId17"/>
        </w:object>
      </w:r>
    </w:p>
    <w:p w:rsidR="00F7196A" w:rsidRPr="00F7196A" w:rsidRDefault="00F7196A" w:rsidP="00CE08D2">
      <w:pPr>
        <w:rPr>
          <w:rFonts w:asciiTheme="majorHAnsi" w:eastAsia="Calibri" w:hAnsiTheme="majorHAnsi" w:cstheme="minorHAnsi"/>
          <w:sz w:val="24"/>
          <w:szCs w:val="24"/>
        </w:rPr>
      </w:pPr>
      <w:r w:rsidRPr="00F7196A">
        <w:rPr>
          <w:rFonts w:asciiTheme="majorHAnsi" w:eastAsia="Calibri" w:hAnsiTheme="majorHAnsi" w:cstheme="minorHAnsi"/>
          <w:sz w:val="24"/>
          <w:szCs w:val="24"/>
        </w:rPr>
        <w:lastRenderedPageBreak/>
        <w:t>3.7 THE SOCIAL INNOVATION PARTERSHIPS PERFORMANCE MEASUREMENT FRAMEWORK</w:t>
      </w:r>
    </w:p>
    <w:p w:rsidR="008E3990" w:rsidRPr="00D35281" w:rsidRDefault="008E3990" w:rsidP="008E3990">
      <w:pPr>
        <w:rPr>
          <w:rFonts w:eastAsia="Times New Roman"/>
          <w:szCs w:val="24"/>
        </w:rPr>
      </w:pPr>
      <w:r w:rsidRPr="00D35281">
        <w:rPr>
          <w:rFonts w:eastAsia="Times New Roman"/>
          <w:szCs w:val="24"/>
        </w:rPr>
        <w:t>A performance measurement strategy for the results chain plan above could involve indicators to monitor resource usage, activities, reach and engagement, capacity changes, behaviours, practices and impacts as follows:</w:t>
      </w:r>
    </w:p>
    <w:p w:rsidR="008E3990" w:rsidRDefault="008E3990" w:rsidP="00CE08D2">
      <w:pPr>
        <w:rPr>
          <w:rFonts w:eastAsia="Calibri"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58"/>
        <w:gridCol w:w="1510"/>
        <w:gridCol w:w="1751"/>
        <w:gridCol w:w="1398"/>
        <w:gridCol w:w="1679"/>
        <w:gridCol w:w="1354"/>
        <w:gridCol w:w="1682"/>
        <w:gridCol w:w="1365"/>
        <w:gridCol w:w="1679"/>
      </w:tblGrid>
      <w:tr w:rsidR="005B647C" w:rsidRPr="007A7A74" w:rsidTr="00AE1ABC">
        <w:tc>
          <w:tcPr>
            <w:tcW w:w="5000" w:type="pct"/>
            <w:gridSpan w:val="9"/>
            <w:shd w:val="clear" w:color="auto" w:fill="666666"/>
          </w:tcPr>
          <w:p w:rsidR="005B647C" w:rsidRPr="007A7A74" w:rsidRDefault="005B647C" w:rsidP="00AE1ABC">
            <w:pPr>
              <w:widowControl w:val="0"/>
              <w:spacing w:after="0" w:line="240" w:lineRule="auto"/>
              <w:jc w:val="center"/>
              <w:rPr>
                <w:rFonts w:ascii="Oswald" w:eastAsia="Oswald" w:hAnsi="Oswald" w:cs="Oswald"/>
                <w:b/>
                <w:color w:val="FFFFFF"/>
                <w:sz w:val="32"/>
                <w:szCs w:val="32"/>
                <w:lang w:val="en-CA" w:eastAsia="en-CA"/>
              </w:rPr>
            </w:pPr>
            <w:r w:rsidRPr="007A7A74">
              <w:rPr>
                <w:rFonts w:ascii="Calibri" w:eastAsia="Calibri" w:hAnsi="Calibri" w:cs="Calibri"/>
                <w:i/>
                <w:color w:val="FFFFFF"/>
                <w:sz w:val="32"/>
                <w:szCs w:val="32"/>
                <w:lang w:val="en-CA" w:eastAsia="en-CA"/>
              </w:rPr>
              <w:t>Social Innovation Partnerships</w:t>
            </w:r>
            <w:r w:rsidRPr="007A7A74">
              <w:rPr>
                <w:rFonts w:ascii="Calibri" w:eastAsia="Calibri" w:hAnsi="Calibri" w:cs="Calibri"/>
                <w:b/>
                <w:color w:val="FFFFFF"/>
                <w:sz w:val="32"/>
                <w:szCs w:val="32"/>
                <w:lang w:val="en-CA" w:eastAsia="en-CA"/>
              </w:rPr>
              <w:t xml:space="preserve"> </w:t>
            </w:r>
            <w:r w:rsidRPr="007A7A74">
              <w:rPr>
                <w:rFonts w:ascii="Calibri" w:eastAsia="Oswald" w:hAnsi="Calibri" w:cs="Oswald"/>
                <w:b/>
                <w:color w:val="FFFFFF"/>
                <w:sz w:val="32"/>
                <w:szCs w:val="32"/>
                <w:lang w:val="en-CA" w:eastAsia="en-CA"/>
              </w:rPr>
              <w:t>Results Plan</w:t>
            </w:r>
          </w:p>
        </w:tc>
      </w:tr>
      <w:tr w:rsidR="008E3990" w:rsidRPr="007A7A74" w:rsidTr="005B647C">
        <w:tc>
          <w:tcPr>
            <w:tcW w:w="1651" w:type="pct"/>
            <w:gridSpan w:val="3"/>
            <w:shd w:val="clear" w:color="auto" w:fill="BFBFBF"/>
          </w:tcPr>
          <w:p w:rsidR="008E3990" w:rsidRPr="007A7A74" w:rsidRDefault="008E3990" w:rsidP="00AE1ABC">
            <w:pPr>
              <w:widowControl w:val="0"/>
              <w:spacing w:after="0" w:line="240" w:lineRule="auto"/>
              <w:jc w:val="center"/>
              <w:rPr>
                <w:rFonts w:ascii="Calibri" w:eastAsia="Calibri" w:hAnsi="Calibri" w:cs="Calibri"/>
                <w:b/>
                <w:color w:val="000000"/>
                <w:sz w:val="24"/>
                <w:szCs w:val="24"/>
                <w:lang w:val="en-CA" w:eastAsia="en-CA"/>
              </w:rPr>
            </w:pPr>
          </w:p>
        </w:tc>
        <w:tc>
          <w:tcPr>
            <w:tcW w:w="1125" w:type="pct"/>
            <w:gridSpan w:val="2"/>
            <w:tcBorders>
              <w:bottom w:val="single" w:sz="4" w:space="0" w:color="000000"/>
            </w:tcBorders>
            <w:shd w:val="clear" w:color="auto" w:fill="FFFFFF"/>
            <w:vAlign w:val="center"/>
          </w:tcPr>
          <w:p w:rsidR="005B647C" w:rsidRDefault="008E3990" w:rsidP="005B647C">
            <w:pPr>
              <w:widowControl w:val="0"/>
              <w:spacing w:after="0" w:line="240" w:lineRule="auto"/>
              <w:jc w:val="center"/>
              <w:rPr>
                <w:rFonts w:ascii="Calibri" w:eastAsia="Calibri" w:hAnsi="Calibri" w:cs="Calibri"/>
                <w:b/>
                <w:color w:val="76923C"/>
                <w:sz w:val="20"/>
                <w:szCs w:val="20"/>
                <w:lang w:val="en-CA" w:eastAsia="en-CA"/>
              </w:rPr>
            </w:pPr>
            <w:r w:rsidRPr="007A7A74">
              <w:rPr>
                <w:rFonts w:ascii="Calibri" w:eastAsia="Calibri" w:hAnsi="Calibri" w:cs="Calibri"/>
                <w:b/>
                <w:color w:val="76923C"/>
                <w:sz w:val="20"/>
                <w:szCs w:val="20"/>
                <w:lang w:val="en-CA" w:eastAsia="en-CA"/>
              </w:rPr>
              <w:t>Build Relationships &amp; Capacity</w:t>
            </w:r>
            <w:r w:rsidR="005B647C">
              <w:rPr>
                <w:rFonts w:ascii="Calibri" w:eastAsia="Calibri" w:hAnsi="Calibri" w:cs="Calibri"/>
                <w:b/>
                <w:color w:val="76923C"/>
                <w:sz w:val="20"/>
                <w:szCs w:val="20"/>
                <w:lang w:val="en-CA" w:eastAsia="en-CA"/>
              </w:rPr>
              <w:t xml:space="preserve"> for</w:t>
            </w:r>
          </w:p>
          <w:p w:rsidR="008E3990" w:rsidRPr="007A7A74" w:rsidRDefault="008E3990" w:rsidP="005B647C">
            <w:pPr>
              <w:widowControl w:val="0"/>
              <w:spacing w:after="0" w:line="240" w:lineRule="auto"/>
              <w:jc w:val="center"/>
              <w:rPr>
                <w:rFonts w:ascii="Calibri" w:eastAsia="Calibri" w:hAnsi="Calibri" w:cs="Calibri"/>
                <w:b/>
                <w:color w:val="76923C"/>
                <w:sz w:val="20"/>
                <w:szCs w:val="20"/>
                <w:lang w:val="en-CA" w:eastAsia="en-CA"/>
              </w:rPr>
            </w:pPr>
            <w:r w:rsidRPr="007A7A74">
              <w:rPr>
                <w:rFonts w:ascii="Calibri" w:eastAsia="Calibri" w:hAnsi="Calibri" w:cs="Calibri"/>
                <w:b/>
                <w:color w:val="76923C"/>
                <w:sz w:val="20"/>
                <w:szCs w:val="20"/>
                <w:lang w:val="en-CA" w:eastAsia="en-CA"/>
              </w:rPr>
              <w:t xml:space="preserve">Policy &amp; </w:t>
            </w:r>
            <w:r w:rsidR="005B647C">
              <w:rPr>
                <w:rFonts w:ascii="Calibri" w:eastAsia="Calibri" w:hAnsi="Calibri" w:cs="Calibri"/>
                <w:b/>
                <w:color w:val="76923C"/>
                <w:sz w:val="20"/>
                <w:szCs w:val="20"/>
                <w:lang w:val="en-CA" w:eastAsia="en-CA"/>
              </w:rPr>
              <w:t xml:space="preserve">Service </w:t>
            </w:r>
            <w:r w:rsidRPr="007A7A74">
              <w:rPr>
                <w:rFonts w:ascii="Calibri" w:eastAsia="Calibri" w:hAnsi="Calibri" w:cs="Calibri"/>
                <w:b/>
                <w:color w:val="76923C"/>
                <w:sz w:val="20"/>
                <w:szCs w:val="20"/>
                <w:lang w:val="en-CA" w:eastAsia="en-CA"/>
              </w:rPr>
              <w:t>Innovation</w:t>
            </w:r>
          </w:p>
        </w:tc>
        <w:tc>
          <w:tcPr>
            <w:tcW w:w="1110" w:type="pct"/>
            <w:gridSpan w:val="2"/>
            <w:tcBorders>
              <w:bottom w:val="single" w:sz="4" w:space="0" w:color="000000"/>
            </w:tcBorders>
            <w:shd w:val="clear" w:color="auto" w:fill="FFFFFF"/>
            <w:vAlign w:val="center"/>
          </w:tcPr>
          <w:p w:rsidR="008E3990" w:rsidRPr="007A7A74" w:rsidRDefault="008E3990" w:rsidP="00AE1ABC">
            <w:pPr>
              <w:widowControl w:val="0"/>
              <w:spacing w:after="0" w:line="240" w:lineRule="auto"/>
              <w:jc w:val="center"/>
              <w:rPr>
                <w:rFonts w:ascii="Calibri" w:eastAsia="Calibri" w:hAnsi="Calibri" w:cs="Calibri"/>
                <w:b/>
                <w:color w:val="0000FF"/>
                <w:sz w:val="20"/>
                <w:szCs w:val="20"/>
                <w:lang w:val="en-CA" w:eastAsia="en-CA"/>
              </w:rPr>
            </w:pPr>
            <w:r w:rsidRPr="007A7A74">
              <w:rPr>
                <w:rFonts w:ascii="Calibri" w:eastAsia="Calibri" w:hAnsi="Calibri" w:cs="Calibri"/>
                <w:b/>
                <w:color w:val="0000FF"/>
                <w:sz w:val="20"/>
                <w:szCs w:val="20"/>
                <w:lang w:val="en-CA" w:eastAsia="en-CA"/>
              </w:rPr>
              <w:t>Co-create &amp; Test</w:t>
            </w:r>
          </w:p>
          <w:p w:rsidR="008E3990" w:rsidRPr="007A7A74" w:rsidRDefault="008E3990" w:rsidP="00AE1ABC">
            <w:pPr>
              <w:widowControl w:val="0"/>
              <w:spacing w:after="0" w:line="240" w:lineRule="auto"/>
              <w:jc w:val="center"/>
              <w:rPr>
                <w:rFonts w:ascii="Calibri" w:eastAsia="Calibri" w:hAnsi="Calibri" w:cs="Calibri"/>
                <w:b/>
                <w:color w:val="0000FF"/>
                <w:sz w:val="20"/>
                <w:szCs w:val="20"/>
                <w:lang w:val="en-CA" w:eastAsia="en-CA"/>
              </w:rPr>
            </w:pPr>
            <w:r w:rsidRPr="007A7A74">
              <w:rPr>
                <w:rFonts w:ascii="Calibri" w:eastAsia="Calibri" w:hAnsi="Calibri" w:cs="Calibri"/>
                <w:b/>
                <w:color w:val="0000FF"/>
                <w:sz w:val="20"/>
                <w:szCs w:val="20"/>
                <w:lang w:val="en-CA" w:eastAsia="en-CA"/>
              </w:rPr>
              <w:t>Insights &amp; Interventions</w:t>
            </w:r>
          </w:p>
        </w:tc>
        <w:tc>
          <w:tcPr>
            <w:tcW w:w="1114" w:type="pct"/>
            <w:gridSpan w:val="2"/>
            <w:tcBorders>
              <w:bottom w:val="single" w:sz="4" w:space="0" w:color="000000"/>
            </w:tcBorders>
            <w:shd w:val="clear" w:color="auto" w:fill="FFFFFF"/>
            <w:vAlign w:val="center"/>
          </w:tcPr>
          <w:p w:rsidR="008E3990" w:rsidRPr="007A7A74" w:rsidRDefault="008E3990" w:rsidP="00AE1ABC">
            <w:pPr>
              <w:widowControl w:val="0"/>
              <w:spacing w:after="0" w:line="240" w:lineRule="auto"/>
              <w:jc w:val="center"/>
              <w:rPr>
                <w:rFonts w:ascii="Calibri" w:eastAsia="Calibri" w:hAnsi="Calibri" w:cs="Calibri"/>
                <w:b/>
                <w:color w:val="B45F06"/>
                <w:sz w:val="20"/>
                <w:szCs w:val="20"/>
                <w:lang w:val="en-CA" w:eastAsia="en-CA"/>
              </w:rPr>
            </w:pPr>
            <w:r w:rsidRPr="007A7A74">
              <w:rPr>
                <w:rFonts w:ascii="Calibri" w:eastAsia="Calibri" w:hAnsi="Calibri" w:cs="Calibri"/>
                <w:b/>
                <w:color w:val="B45F06"/>
                <w:sz w:val="20"/>
                <w:szCs w:val="20"/>
                <w:lang w:val="en-CA" w:eastAsia="en-CA"/>
              </w:rPr>
              <w:t>Implement What Works</w:t>
            </w:r>
          </w:p>
          <w:p w:rsidR="008E3990" w:rsidRPr="007A7A74" w:rsidRDefault="008E3990" w:rsidP="00AE1ABC">
            <w:pPr>
              <w:widowControl w:val="0"/>
              <w:spacing w:after="0" w:line="240" w:lineRule="auto"/>
              <w:jc w:val="center"/>
              <w:rPr>
                <w:rFonts w:ascii="Calibri" w:eastAsia="Calibri" w:hAnsi="Calibri" w:cs="Calibri"/>
                <w:b/>
                <w:color w:val="B45F06"/>
                <w:sz w:val="20"/>
                <w:szCs w:val="20"/>
                <w:lang w:val="en-CA" w:eastAsia="en-CA"/>
              </w:rPr>
            </w:pPr>
            <w:r w:rsidRPr="007A7A74">
              <w:rPr>
                <w:rFonts w:ascii="Calibri" w:eastAsia="Calibri" w:hAnsi="Calibri" w:cs="Calibri"/>
                <w:b/>
                <w:color w:val="B45F06"/>
                <w:sz w:val="20"/>
                <w:szCs w:val="20"/>
                <w:lang w:val="en-CA" w:eastAsia="en-CA"/>
              </w:rPr>
              <w:t xml:space="preserve">for Policy </w:t>
            </w:r>
            <w:r w:rsidR="005B647C">
              <w:rPr>
                <w:rFonts w:ascii="Calibri" w:eastAsia="Calibri" w:hAnsi="Calibri" w:cs="Calibri"/>
                <w:b/>
                <w:color w:val="B45F06"/>
                <w:sz w:val="20"/>
                <w:szCs w:val="20"/>
                <w:lang w:val="en-CA" w:eastAsia="en-CA"/>
              </w:rPr>
              <w:t xml:space="preserve">&amp; Service </w:t>
            </w:r>
            <w:r w:rsidRPr="007A7A74">
              <w:rPr>
                <w:rFonts w:ascii="Calibri" w:eastAsia="Calibri" w:hAnsi="Calibri" w:cs="Calibri"/>
                <w:b/>
                <w:color w:val="B45F06"/>
                <w:sz w:val="20"/>
                <w:szCs w:val="20"/>
                <w:lang w:val="en-CA" w:eastAsia="en-CA"/>
              </w:rPr>
              <w:t>Change</w:t>
            </w:r>
          </w:p>
        </w:tc>
      </w:tr>
      <w:tr w:rsidR="008E3990" w:rsidRPr="007A7A74" w:rsidTr="005B647C">
        <w:tc>
          <w:tcPr>
            <w:tcW w:w="460" w:type="pct"/>
            <w:shd w:val="clear" w:color="auto" w:fill="BFBFBF"/>
          </w:tcPr>
          <w:p w:rsidR="008E3990" w:rsidRPr="007A7A74" w:rsidRDefault="008E3990" w:rsidP="00AE1ABC">
            <w:pPr>
              <w:widowControl w:val="0"/>
              <w:spacing w:after="0" w:line="240" w:lineRule="auto"/>
              <w:rPr>
                <w:rFonts w:ascii="Calibri" w:eastAsia="Calibri" w:hAnsi="Calibri" w:cs="Calibri"/>
                <w:color w:val="000000"/>
                <w:sz w:val="16"/>
                <w:szCs w:val="16"/>
                <w:lang w:val="en-CA" w:eastAsia="en-CA"/>
              </w:rPr>
            </w:pPr>
          </w:p>
        </w:tc>
        <w:tc>
          <w:tcPr>
            <w:tcW w:w="552" w:type="pct"/>
            <w:tcBorders>
              <w:bottom w:val="single" w:sz="4" w:space="0" w:color="000000"/>
            </w:tcBorders>
            <w:shd w:val="clear" w:color="auto" w:fill="BFBFBF"/>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Results Chain</w:t>
            </w:r>
          </w:p>
        </w:tc>
        <w:tc>
          <w:tcPr>
            <w:tcW w:w="640" w:type="pct"/>
            <w:tcBorders>
              <w:bottom w:val="single" w:sz="4" w:space="0" w:color="000000"/>
            </w:tcBorders>
            <w:shd w:val="clear" w:color="auto" w:fill="BFBFBF"/>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T0</w:t>
            </w:r>
          </w:p>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p>
        </w:tc>
        <w:tc>
          <w:tcPr>
            <w:tcW w:w="1125" w:type="pct"/>
            <w:gridSpan w:val="2"/>
            <w:tcBorders>
              <w:bottom w:val="single" w:sz="4" w:space="0" w:color="000000"/>
            </w:tcBorders>
            <w:shd w:val="clear" w:color="auto" w:fill="BFBFBF"/>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T1</w:t>
            </w:r>
          </w:p>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(desired)</w:t>
            </w:r>
          </w:p>
        </w:tc>
        <w:tc>
          <w:tcPr>
            <w:tcW w:w="1110" w:type="pct"/>
            <w:gridSpan w:val="2"/>
            <w:tcBorders>
              <w:bottom w:val="single" w:sz="4" w:space="0" w:color="000000"/>
            </w:tcBorders>
            <w:shd w:val="clear" w:color="auto" w:fill="BFBFBF"/>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T2</w:t>
            </w:r>
          </w:p>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(desired)</w:t>
            </w:r>
          </w:p>
        </w:tc>
        <w:tc>
          <w:tcPr>
            <w:tcW w:w="1114" w:type="pct"/>
            <w:gridSpan w:val="2"/>
            <w:tcBorders>
              <w:bottom w:val="single" w:sz="4" w:space="0" w:color="000000"/>
            </w:tcBorders>
            <w:shd w:val="clear" w:color="auto" w:fill="BFBFBF"/>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T3 +</w:t>
            </w:r>
          </w:p>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(desired)</w:t>
            </w:r>
          </w:p>
        </w:tc>
      </w:tr>
      <w:tr w:rsidR="008E3990" w:rsidRPr="007A7A74" w:rsidTr="005B647C">
        <w:tc>
          <w:tcPr>
            <w:tcW w:w="460" w:type="pct"/>
            <w:shd w:val="clear" w:color="auto" w:fill="BFBFBF"/>
            <w:vAlign w:val="center"/>
          </w:tcPr>
          <w:p w:rsidR="008E3990" w:rsidRPr="007A7A74" w:rsidRDefault="008E3990" w:rsidP="00AE1ABC">
            <w:pPr>
              <w:widowControl w:val="0"/>
              <w:spacing w:after="0" w:line="240" w:lineRule="auto"/>
              <w:jc w:val="center"/>
              <w:rPr>
                <w:rFonts w:ascii="Calibri" w:eastAsia="Calibri" w:hAnsi="Calibri" w:cs="Calibri"/>
                <w:color w:val="000000"/>
                <w:sz w:val="20"/>
                <w:szCs w:val="20"/>
                <w:lang w:val="en-CA" w:eastAsia="en-CA"/>
              </w:rPr>
            </w:pPr>
          </w:p>
        </w:tc>
        <w:tc>
          <w:tcPr>
            <w:tcW w:w="552" w:type="pct"/>
            <w:shd w:val="clear" w:color="auto" w:fill="F2F2F2"/>
            <w:vAlign w:val="center"/>
          </w:tcPr>
          <w:p w:rsidR="008E3990" w:rsidRPr="007A7A74" w:rsidRDefault="008E3990" w:rsidP="00AE1ABC">
            <w:pPr>
              <w:widowControl w:val="0"/>
              <w:spacing w:after="0" w:line="240" w:lineRule="auto"/>
              <w:jc w:val="center"/>
              <w:rPr>
                <w:rFonts w:ascii="Calibri" w:eastAsia="Calibri" w:hAnsi="Calibri" w:cs="Calibri"/>
                <w:color w:val="000000"/>
                <w:sz w:val="16"/>
                <w:szCs w:val="16"/>
                <w:lang w:val="en-CA" w:eastAsia="en-CA"/>
              </w:rPr>
            </w:pPr>
          </w:p>
        </w:tc>
        <w:tc>
          <w:tcPr>
            <w:tcW w:w="640" w:type="pct"/>
            <w:shd w:val="clear" w:color="auto" w:fill="F2F2F2"/>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current needs</w:t>
            </w:r>
          </w:p>
        </w:tc>
        <w:tc>
          <w:tcPr>
            <w:tcW w:w="511" w:type="pct"/>
            <w:tcBorders>
              <w:bottom w:val="single" w:sz="4" w:space="0" w:color="000000"/>
            </w:tcBorders>
            <w:shd w:val="clear" w:color="auto" w:fill="F2F2F2"/>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Results</w:t>
            </w:r>
          </w:p>
        </w:tc>
        <w:tc>
          <w:tcPr>
            <w:tcW w:w="614" w:type="pct"/>
            <w:shd w:val="clear" w:color="auto" w:fill="F2F2F2"/>
            <w:vAlign w:val="center"/>
          </w:tcPr>
          <w:p w:rsidR="008E3990" w:rsidRPr="007A7A74" w:rsidRDefault="008E3990" w:rsidP="00AE1ABC">
            <w:pPr>
              <w:widowControl w:val="0"/>
              <w:spacing w:after="0" w:line="240" w:lineRule="auto"/>
              <w:ind w:left="360"/>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Indicators</w:t>
            </w:r>
          </w:p>
        </w:tc>
        <w:tc>
          <w:tcPr>
            <w:tcW w:w="495" w:type="pct"/>
            <w:tcBorders>
              <w:bottom w:val="single" w:sz="4" w:space="0" w:color="000000"/>
            </w:tcBorders>
            <w:shd w:val="clear" w:color="auto" w:fill="F2F2F2"/>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Results</w:t>
            </w:r>
          </w:p>
        </w:tc>
        <w:tc>
          <w:tcPr>
            <w:tcW w:w="615" w:type="pct"/>
            <w:shd w:val="clear" w:color="auto" w:fill="F2F2F2"/>
            <w:vAlign w:val="center"/>
          </w:tcPr>
          <w:p w:rsidR="008E3990" w:rsidRPr="007A7A74" w:rsidRDefault="008E3990" w:rsidP="00AE1ABC">
            <w:pPr>
              <w:widowControl w:val="0"/>
              <w:spacing w:after="0" w:line="240" w:lineRule="auto"/>
              <w:ind w:left="360"/>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Indicators</w:t>
            </w:r>
          </w:p>
        </w:tc>
        <w:tc>
          <w:tcPr>
            <w:tcW w:w="499" w:type="pct"/>
            <w:tcBorders>
              <w:bottom w:val="single" w:sz="4" w:space="0" w:color="000000"/>
            </w:tcBorders>
            <w:shd w:val="clear" w:color="auto" w:fill="F2F2F2"/>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Results</w:t>
            </w:r>
          </w:p>
        </w:tc>
        <w:tc>
          <w:tcPr>
            <w:tcW w:w="614" w:type="pct"/>
            <w:shd w:val="clear" w:color="auto" w:fill="F2F2F2"/>
            <w:vAlign w:val="center"/>
          </w:tcPr>
          <w:p w:rsidR="008E3990" w:rsidRPr="007A7A74" w:rsidRDefault="008E3990" w:rsidP="00AE1ABC">
            <w:pPr>
              <w:widowControl w:val="0"/>
              <w:spacing w:after="0" w:line="240" w:lineRule="auto"/>
              <w:ind w:left="360"/>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Indicators</w:t>
            </w:r>
          </w:p>
        </w:tc>
      </w:tr>
      <w:tr w:rsidR="008E3990" w:rsidRPr="007A7A74" w:rsidTr="005B647C">
        <w:tc>
          <w:tcPr>
            <w:tcW w:w="460" w:type="pct"/>
            <w:vMerge w:val="restart"/>
            <w:shd w:val="clear" w:color="auto" w:fill="BFBFBF"/>
            <w:vAlign w:val="center"/>
          </w:tcPr>
          <w:p w:rsidR="008E3990" w:rsidRPr="007A7A74" w:rsidRDefault="008E3990" w:rsidP="00AE1ABC">
            <w:pPr>
              <w:widowControl w:val="0"/>
              <w:spacing w:after="0" w:line="240" w:lineRule="auto"/>
              <w:jc w:val="center"/>
              <w:rPr>
                <w:rFonts w:ascii="Calibri" w:eastAsia="Calibri" w:hAnsi="Calibri" w:cs="Calibri"/>
                <w:b/>
                <w:color w:val="000000"/>
                <w:sz w:val="20"/>
                <w:szCs w:val="20"/>
                <w:lang w:val="en-CA" w:eastAsia="en-CA"/>
              </w:rPr>
            </w:pPr>
            <w:r w:rsidRPr="007A7A74">
              <w:rPr>
                <w:rFonts w:ascii="Calibri" w:eastAsia="Calibri" w:hAnsi="Calibri" w:cs="Calibri"/>
                <w:b/>
                <w:color w:val="000000"/>
                <w:sz w:val="20"/>
                <w:szCs w:val="20"/>
                <w:lang w:val="en-CA" w:eastAsia="en-CA"/>
              </w:rPr>
              <w:t>WHY?</w:t>
            </w:r>
          </w:p>
        </w:tc>
        <w:tc>
          <w:tcPr>
            <w:tcW w:w="552" w:type="pct"/>
            <w:shd w:val="clear" w:color="auto" w:fill="F2F2F2"/>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Ultimate Result</w:t>
            </w:r>
          </w:p>
          <w:p w:rsidR="008E3990" w:rsidRPr="007A7A74" w:rsidRDefault="008E3990" w:rsidP="00AE1ABC">
            <w:pPr>
              <w:widowControl w:val="0"/>
              <w:spacing w:after="0" w:line="240" w:lineRule="auto"/>
              <w:jc w:val="center"/>
              <w:rPr>
                <w:rFonts w:ascii="Calibri" w:eastAsia="Arial" w:hAnsi="Calibri" w:cs="Arial"/>
                <w:color w:val="000000"/>
                <w:sz w:val="12"/>
                <w:szCs w:val="12"/>
                <w:lang w:val="en-CA" w:eastAsia="en-CA"/>
              </w:rPr>
            </w:pPr>
            <w:r w:rsidRPr="007A7A74">
              <w:rPr>
                <w:rFonts w:ascii="Calibri" w:eastAsia="Arial" w:hAnsi="Calibri" w:cs="Arial"/>
                <w:i/>
                <w:color w:val="000000"/>
                <w:sz w:val="12"/>
                <w:szCs w:val="12"/>
                <w:lang w:val="en-CA" w:eastAsia="en-CA"/>
              </w:rPr>
              <w:t>Describe the overall trends with</w:t>
            </w:r>
          </w:p>
          <w:p w:rsidR="008E3990" w:rsidRPr="007A7A74" w:rsidRDefault="008E3990" w:rsidP="00AE1ABC">
            <w:pPr>
              <w:widowControl w:val="0"/>
              <w:spacing w:after="0" w:line="240" w:lineRule="auto"/>
              <w:jc w:val="center"/>
              <w:rPr>
                <w:rFonts w:ascii="Calibri" w:eastAsia="Arial" w:hAnsi="Calibri" w:cs="Arial"/>
                <w:color w:val="000000"/>
                <w:sz w:val="12"/>
                <w:szCs w:val="12"/>
                <w:lang w:val="en-CA" w:eastAsia="en-CA"/>
              </w:rPr>
            </w:pPr>
            <w:r w:rsidRPr="007A7A74">
              <w:rPr>
                <w:rFonts w:ascii="Calibri" w:eastAsia="Arial" w:hAnsi="Calibri" w:cs="Arial"/>
                <w:i/>
                <w:color w:val="000000"/>
                <w:sz w:val="12"/>
                <w:szCs w:val="12"/>
                <w:lang w:val="en-CA" w:eastAsia="en-CA"/>
              </w:rPr>
              <w:t>regard to the organization mission,</w:t>
            </w:r>
          </w:p>
          <w:p w:rsidR="008E3990" w:rsidRPr="007A7A74" w:rsidRDefault="008E3990" w:rsidP="00AE1ABC">
            <w:pPr>
              <w:widowControl w:val="0"/>
              <w:spacing w:after="0" w:line="240" w:lineRule="auto"/>
              <w:jc w:val="center"/>
              <w:rPr>
                <w:rFonts w:ascii="Calibri" w:eastAsia="Calibri" w:hAnsi="Calibri" w:cs="Calibri"/>
                <w:b/>
                <w:color w:val="000000"/>
                <w:sz w:val="20"/>
                <w:szCs w:val="20"/>
                <w:lang w:val="en-CA" w:eastAsia="en-CA"/>
              </w:rPr>
            </w:pPr>
            <w:r w:rsidRPr="007A7A74">
              <w:rPr>
                <w:rFonts w:ascii="Calibri" w:eastAsia="Arial" w:hAnsi="Calibri" w:cs="Arial"/>
                <w:i/>
                <w:color w:val="000000"/>
                <w:sz w:val="12"/>
                <w:szCs w:val="12"/>
                <w:lang w:val="en-CA" w:eastAsia="en-CA"/>
              </w:rPr>
              <w:t>vision and goals.</w:t>
            </w:r>
          </w:p>
        </w:tc>
        <w:tc>
          <w:tcPr>
            <w:tcW w:w="640" w:type="pct"/>
          </w:tcPr>
          <w:p w:rsidR="008E3990" w:rsidRPr="007A7A74" w:rsidRDefault="008E3990" w:rsidP="00AE1ABC">
            <w:pPr>
              <w:widowControl w:val="0"/>
              <w:spacing w:after="0" w:line="240" w:lineRule="auto"/>
              <w:rPr>
                <w:rFonts w:ascii="Calibri" w:eastAsia="Calibri" w:hAnsi="Calibri" w:cs="Calibri"/>
                <w:color w:val="434343"/>
                <w:sz w:val="12"/>
                <w:szCs w:val="12"/>
                <w:lang w:val="en-CA" w:eastAsia="en-CA"/>
              </w:rPr>
            </w:pPr>
            <w:r w:rsidRPr="007A7A74">
              <w:rPr>
                <w:rFonts w:ascii="Calibri" w:eastAsia="Calibri" w:hAnsi="Calibri" w:cs="Calibri"/>
                <w:color w:val="434343"/>
                <w:sz w:val="12"/>
                <w:szCs w:val="12"/>
                <w:lang w:val="en-CA" w:eastAsia="en-CA"/>
              </w:rPr>
              <w:t xml:space="preserve">Scaling energy efficiency &amp; lower carbon transportation in Canada requires addressing systemic gaps (infrastructure, institutions, inter-relationships, behaviours) through the continuous improvement, creation and uptake of policies, services, tools and practices. </w:t>
            </w:r>
          </w:p>
        </w:tc>
        <w:tc>
          <w:tcPr>
            <w:tcW w:w="511" w:type="pct"/>
            <w:shd w:val="clear" w:color="auto" w:fill="F2F2F2"/>
            <w:vAlign w:val="center"/>
          </w:tcPr>
          <w:p w:rsidR="008E3990" w:rsidRPr="007A7A74" w:rsidRDefault="008E3990" w:rsidP="00AE1ABC">
            <w:pPr>
              <w:widowControl w:val="0"/>
              <w:spacing w:after="0" w:line="240" w:lineRule="auto"/>
              <w:jc w:val="center"/>
              <w:rPr>
                <w:rFonts w:ascii="Calibri" w:eastAsia="Calibri" w:hAnsi="Calibri" w:cs="Calibri"/>
                <w:color w:val="9BBB59"/>
                <w:sz w:val="12"/>
                <w:szCs w:val="12"/>
                <w:lang w:val="en-CA" w:eastAsia="en-CA"/>
                <w14:textFill>
                  <w14:solidFill>
                    <w14:srgbClr w14:val="9BBB59">
                      <w14:lumMod w14:val="75000"/>
                    </w14:srgbClr>
                  </w14:solidFill>
                </w14:textFill>
              </w:rPr>
            </w:pPr>
          </w:p>
        </w:tc>
        <w:tc>
          <w:tcPr>
            <w:tcW w:w="614" w:type="pct"/>
            <w:vAlign w:val="center"/>
          </w:tcPr>
          <w:p w:rsidR="008E3990" w:rsidRPr="007A7A74" w:rsidRDefault="008E3990" w:rsidP="00AE1ABC">
            <w:pPr>
              <w:widowControl w:val="0"/>
              <w:spacing w:after="0" w:line="240" w:lineRule="auto"/>
              <w:ind w:left="360"/>
              <w:jc w:val="center"/>
              <w:rPr>
                <w:rFonts w:ascii="Calibri" w:eastAsia="Calibri" w:hAnsi="Calibri" w:cs="Calibri"/>
                <w:color w:val="9BBB59"/>
                <w:sz w:val="12"/>
                <w:szCs w:val="12"/>
                <w:lang w:val="en-CA" w:eastAsia="en-CA"/>
                <w14:textFill>
                  <w14:solidFill>
                    <w14:srgbClr w14:val="9BBB59">
                      <w14:lumMod w14:val="75000"/>
                    </w14:srgbClr>
                  </w14:solidFill>
                </w14:textFill>
              </w:rPr>
            </w:pPr>
          </w:p>
        </w:tc>
        <w:tc>
          <w:tcPr>
            <w:tcW w:w="495" w:type="pct"/>
            <w:shd w:val="clear" w:color="auto" w:fill="F2F2F2"/>
            <w:vAlign w:val="bottom"/>
          </w:tcPr>
          <w:p w:rsidR="008E3990" w:rsidRPr="007A7A74" w:rsidRDefault="008E3990" w:rsidP="00AE1ABC">
            <w:pPr>
              <w:widowControl w:val="0"/>
              <w:spacing w:after="0" w:line="240" w:lineRule="auto"/>
              <w:rPr>
                <w:rFonts w:ascii="Calibri" w:eastAsia="Calibri" w:hAnsi="Calibri" w:cs="Calibri"/>
                <w:color w:val="000000"/>
                <w:sz w:val="12"/>
                <w:szCs w:val="12"/>
                <w:lang w:val="en-CA" w:eastAsia="en-CA"/>
              </w:rPr>
            </w:pPr>
          </w:p>
        </w:tc>
        <w:tc>
          <w:tcPr>
            <w:tcW w:w="615" w:type="pct"/>
            <w:vAlign w:val="bottom"/>
          </w:tcPr>
          <w:p w:rsidR="008E3990" w:rsidRPr="007A7A74" w:rsidRDefault="008E3990" w:rsidP="00AE1ABC">
            <w:pPr>
              <w:widowControl w:val="0"/>
              <w:spacing w:after="0" w:line="240" w:lineRule="auto"/>
              <w:rPr>
                <w:rFonts w:ascii="Calibri" w:eastAsia="Calibri" w:hAnsi="Calibri" w:cs="Calibri"/>
                <w:color w:val="000000"/>
                <w:sz w:val="12"/>
                <w:szCs w:val="12"/>
                <w:lang w:val="en-CA" w:eastAsia="en-CA"/>
              </w:rPr>
            </w:pPr>
          </w:p>
        </w:tc>
        <w:tc>
          <w:tcPr>
            <w:tcW w:w="499"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12"/>
                <w:szCs w:val="12"/>
                <w:lang w:val="en-CA" w:eastAsia="en-CA"/>
                <w14:textFill>
                  <w14:solidFill>
                    <w14:srgbClr w14:val="F79646">
                      <w14:lumMod w14:val="50000"/>
                    </w14:srgbClr>
                  </w14:solidFill>
                </w14:textFill>
              </w:rPr>
              <w:t xml:space="preserve"> Energy savings</w:t>
            </w:r>
          </w:p>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12"/>
                <w:szCs w:val="12"/>
                <w:lang w:val="en-CA" w:eastAsia="en-CA"/>
                <w14:textFill>
                  <w14:solidFill>
                    <w14:srgbClr w14:val="F79646">
                      <w14:lumMod w14:val="50000"/>
                    </w14:srgbClr>
                  </w14:solidFill>
                </w14:textFill>
              </w:rPr>
              <w:t xml:space="preserve"> GHG reductions</w:t>
            </w:r>
          </w:p>
        </w:tc>
        <w:tc>
          <w:tcPr>
            <w:tcW w:w="614" w:type="pct"/>
          </w:tcPr>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12"/>
                <w:szCs w:val="12"/>
                <w:lang w:val="en-CA" w:eastAsia="en-CA"/>
                <w14:textFill>
                  <w14:solidFill>
                    <w14:srgbClr w14:val="F79646">
                      <w14:lumMod w14:val="50000"/>
                    </w14:srgbClr>
                  </w14:solidFill>
                </w14:textFill>
              </w:rPr>
              <w:t xml:space="preserve"> [include OEE indicators]</w:t>
            </w:r>
          </w:p>
        </w:tc>
      </w:tr>
      <w:tr w:rsidR="008E3990" w:rsidRPr="007A7A74" w:rsidTr="005B647C">
        <w:tc>
          <w:tcPr>
            <w:tcW w:w="460" w:type="pct"/>
            <w:vMerge/>
            <w:shd w:val="clear" w:color="auto" w:fill="BFBFBF"/>
            <w:vAlign w:val="center"/>
          </w:tcPr>
          <w:p w:rsidR="008E3990" w:rsidRPr="007A7A74" w:rsidRDefault="008E3990" w:rsidP="00AE1ABC">
            <w:pPr>
              <w:widowControl w:val="0"/>
              <w:spacing w:after="0" w:line="240" w:lineRule="auto"/>
              <w:rPr>
                <w:rFonts w:ascii="Calibri" w:eastAsia="Calibri" w:hAnsi="Calibri" w:cs="Calibri"/>
                <w:b/>
                <w:color w:val="000000"/>
                <w:sz w:val="20"/>
                <w:szCs w:val="20"/>
                <w:lang w:val="en-CA" w:eastAsia="en-CA"/>
              </w:rPr>
            </w:pPr>
          </w:p>
        </w:tc>
        <w:tc>
          <w:tcPr>
            <w:tcW w:w="552" w:type="pct"/>
            <w:shd w:val="clear" w:color="auto" w:fill="F2F2F2"/>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Practice and behaviour change</w:t>
            </w:r>
          </w:p>
          <w:p w:rsidR="008E3990" w:rsidRPr="007A7A74" w:rsidRDefault="008E3990" w:rsidP="00AE1ABC">
            <w:pPr>
              <w:widowControl w:val="0"/>
              <w:spacing w:after="0" w:line="240" w:lineRule="auto"/>
              <w:jc w:val="center"/>
              <w:rPr>
                <w:rFonts w:ascii="Calibri" w:eastAsia="Calibri" w:hAnsi="Calibri" w:cs="Calibri"/>
                <w:b/>
                <w:color w:val="000000"/>
                <w:sz w:val="20"/>
                <w:szCs w:val="20"/>
                <w:lang w:val="en-CA" w:eastAsia="en-CA"/>
              </w:rPr>
            </w:pPr>
            <w:r w:rsidRPr="007A7A74">
              <w:rPr>
                <w:rFonts w:ascii="Calibri" w:eastAsia="Arial" w:hAnsi="Calibri" w:cs="Arial"/>
                <w:i/>
                <w:color w:val="000000"/>
                <w:sz w:val="12"/>
                <w:szCs w:val="12"/>
                <w:lang w:val="en-CA" w:eastAsia="en-CA"/>
              </w:rPr>
              <w:t>Describe the practices and behaviour of individuals, groups, and partners over time.</w:t>
            </w:r>
          </w:p>
          <w:p w:rsidR="008E3990" w:rsidRPr="007A7A74" w:rsidRDefault="008E3990" w:rsidP="00AE1ABC">
            <w:pPr>
              <w:widowControl w:val="0"/>
              <w:spacing w:after="0" w:line="240" w:lineRule="auto"/>
              <w:jc w:val="center"/>
              <w:rPr>
                <w:rFonts w:ascii="Calibri" w:eastAsia="Calibri" w:hAnsi="Calibri" w:cs="Calibri"/>
                <w:color w:val="000000"/>
                <w:sz w:val="16"/>
                <w:szCs w:val="16"/>
                <w:lang w:val="en-CA" w:eastAsia="en-CA"/>
              </w:rPr>
            </w:pPr>
          </w:p>
          <w:p w:rsidR="008E3990" w:rsidRPr="007A7A74" w:rsidRDefault="008E3990" w:rsidP="00AE1ABC">
            <w:pPr>
              <w:widowControl w:val="0"/>
              <w:spacing w:after="0" w:line="240" w:lineRule="auto"/>
              <w:jc w:val="center"/>
              <w:rPr>
                <w:rFonts w:ascii="Calibri" w:eastAsia="Calibri" w:hAnsi="Calibri" w:cs="Calibri"/>
                <w:color w:val="000000"/>
                <w:sz w:val="12"/>
                <w:szCs w:val="12"/>
                <w:lang w:val="en-CA" w:eastAsia="en-CA"/>
              </w:rPr>
            </w:pPr>
            <w:r w:rsidRPr="007A7A74">
              <w:rPr>
                <w:rFonts w:ascii="Calibri" w:eastAsia="Calibri" w:hAnsi="Calibri" w:cs="Calibri"/>
                <w:color w:val="000000"/>
                <w:sz w:val="12"/>
                <w:szCs w:val="12"/>
                <w:lang w:val="en-CA" w:eastAsia="en-CA"/>
              </w:rPr>
              <w:t>[intermediate result(s)]</w:t>
            </w:r>
          </w:p>
          <w:p w:rsidR="008E3990" w:rsidRPr="007A7A74" w:rsidRDefault="008E3990" w:rsidP="00AE1ABC">
            <w:pPr>
              <w:widowControl w:val="0"/>
              <w:spacing w:after="0" w:line="240" w:lineRule="auto"/>
              <w:jc w:val="center"/>
              <w:rPr>
                <w:rFonts w:ascii="Calibri" w:eastAsia="Calibri" w:hAnsi="Calibri" w:cs="Calibri"/>
                <w:color w:val="000000"/>
                <w:sz w:val="16"/>
                <w:szCs w:val="16"/>
                <w:lang w:val="en-CA" w:eastAsia="en-CA"/>
              </w:rPr>
            </w:pPr>
          </w:p>
        </w:tc>
        <w:tc>
          <w:tcPr>
            <w:tcW w:w="640" w:type="pct"/>
          </w:tcPr>
          <w:p w:rsidR="008E3990" w:rsidRPr="007A7A74" w:rsidRDefault="008E3990" w:rsidP="00AE1ABC">
            <w:pPr>
              <w:widowControl w:val="0"/>
              <w:spacing w:after="0" w:line="240" w:lineRule="auto"/>
              <w:rPr>
                <w:rFonts w:ascii="Calibri" w:eastAsia="Calibri" w:hAnsi="Calibri" w:cs="Calibri"/>
                <w:color w:val="434343"/>
                <w:sz w:val="12"/>
                <w:szCs w:val="12"/>
                <w:lang w:val="en-CA" w:eastAsia="en-CA"/>
              </w:rPr>
            </w:pPr>
            <w:r w:rsidRPr="007A7A74">
              <w:rPr>
                <w:rFonts w:ascii="Calibri" w:eastAsia="Calibri" w:hAnsi="Calibri" w:cs="Calibri"/>
                <w:color w:val="434343"/>
                <w:sz w:val="12"/>
                <w:szCs w:val="12"/>
                <w:lang w:val="en-CA" w:eastAsia="en-CA"/>
              </w:rPr>
              <w:t>There are gaps in reaching new &amp; existing users &amp; working collaboratively across jurisdictions and sectors.</w:t>
            </w:r>
          </w:p>
          <w:p w:rsidR="008E3990" w:rsidRPr="007A7A74" w:rsidRDefault="008E3990" w:rsidP="00AE1ABC">
            <w:pPr>
              <w:widowControl w:val="0"/>
              <w:spacing w:after="0" w:line="240" w:lineRule="auto"/>
              <w:rPr>
                <w:rFonts w:ascii="Calibri" w:eastAsia="Calibri" w:hAnsi="Calibri" w:cs="Calibri"/>
                <w:color w:val="434343"/>
                <w:sz w:val="12"/>
                <w:szCs w:val="12"/>
                <w:lang w:val="en-CA" w:eastAsia="en-CA"/>
              </w:rPr>
            </w:pPr>
          </w:p>
          <w:p w:rsidR="008E3990" w:rsidRPr="007A7A74" w:rsidRDefault="008E3990" w:rsidP="00AE1ABC">
            <w:pPr>
              <w:widowControl w:val="0"/>
              <w:spacing w:after="0" w:line="240" w:lineRule="auto"/>
              <w:rPr>
                <w:rFonts w:ascii="Calibri" w:eastAsia="Calibri" w:hAnsi="Calibri" w:cs="Calibri"/>
                <w:color w:val="434343"/>
                <w:sz w:val="12"/>
                <w:szCs w:val="12"/>
                <w:lang w:val="en-CA" w:eastAsia="en-CA"/>
              </w:rPr>
            </w:pPr>
            <w:r w:rsidRPr="007A7A74">
              <w:rPr>
                <w:rFonts w:ascii="Calibri" w:eastAsia="Calibri" w:hAnsi="Calibri" w:cs="Calibri"/>
                <w:color w:val="434343"/>
                <w:sz w:val="12"/>
                <w:szCs w:val="12"/>
                <w:lang w:val="en-CA" w:eastAsia="en-CA"/>
              </w:rPr>
              <w:t xml:space="preserve">There’s a need to design and/or test existing and new models, services and tools to improve the experience and uptake of energy efficient and lower carbon transportation practices.  </w:t>
            </w:r>
          </w:p>
        </w:tc>
        <w:tc>
          <w:tcPr>
            <w:tcW w:w="511" w:type="pct"/>
            <w:shd w:val="clear" w:color="auto" w:fill="F2F2F2"/>
          </w:tcPr>
          <w:p w:rsidR="008E3990" w:rsidRPr="007A7A74" w:rsidRDefault="008E3990" w:rsidP="00AE1ABC">
            <w:pPr>
              <w:widowControl w:val="0"/>
              <w:spacing w:after="0" w:line="240" w:lineRule="auto"/>
              <w:rPr>
                <w:rFonts w:ascii="Calibri" w:eastAsia="Calibri" w:hAnsi="Calibri" w:cs="Calibri"/>
                <w:color w:val="9BBB59"/>
                <w:sz w:val="12"/>
                <w:szCs w:val="12"/>
                <w:lang w:val="en-CA" w:eastAsia="en-CA"/>
                <w14:textFill>
                  <w14:solidFill>
                    <w14:srgbClr w14:val="9BBB59">
                      <w14:lumMod w14:val="75000"/>
                    </w14:srgbClr>
                  </w14:solidFill>
                </w14:textFill>
              </w:rPr>
            </w:pPr>
          </w:p>
        </w:tc>
        <w:tc>
          <w:tcPr>
            <w:tcW w:w="614" w:type="pct"/>
          </w:tcPr>
          <w:p w:rsidR="008E3990" w:rsidRPr="007A7A74" w:rsidRDefault="008E3990" w:rsidP="00AE1ABC">
            <w:pPr>
              <w:widowControl w:val="0"/>
              <w:spacing w:after="0" w:line="240" w:lineRule="auto"/>
              <w:ind w:left="360"/>
              <w:rPr>
                <w:rFonts w:ascii="Calibri" w:eastAsia="Calibri" w:hAnsi="Calibri" w:cs="Calibri"/>
                <w:color w:val="9BBB59"/>
                <w:sz w:val="12"/>
                <w:szCs w:val="12"/>
                <w:lang w:val="en-CA" w:eastAsia="en-CA"/>
                <w14:textFill>
                  <w14:solidFill>
                    <w14:srgbClr w14:val="9BBB59">
                      <w14:lumMod w14:val="75000"/>
                    </w14:srgbClr>
                  </w14:solidFill>
                </w14:textFill>
              </w:rPr>
            </w:pPr>
          </w:p>
        </w:tc>
        <w:tc>
          <w:tcPr>
            <w:tcW w:w="495"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12"/>
                <w:szCs w:val="12"/>
                <w:lang w:val="en-CA" w:eastAsia="en-CA"/>
              </w:rPr>
              <w:t xml:space="preserve"> Tested interventions improve the uptake of existing tools or practices (project scale)</w:t>
            </w:r>
          </w:p>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12"/>
                <w:szCs w:val="12"/>
                <w:lang w:val="en-CA" w:eastAsia="en-CA"/>
              </w:rPr>
              <w:t xml:space="preserve"> Tested new interventions (e.g. models, tools or practices) improve energy efficiency and lower carbon transportation (project scale)</w:t>
            </w:r>
          </w:p>
        </w:tc>
        <w:tc>
          <w:tcPr>
            <w:tcW w:w="615" w:type="pct"/>
          </w:tcPr>
          <w:p w:rsidR="008E3990" w:rsidRPr="007A7A74" w:rsidRDefault="008E3990" w:rsidP="00AE1ABC">
            <w:pPr>
              <w:widowControl w:val="0"/>
              <w:spacing w:after="0" w:line="240" w:lineRule="auto"/>
              <w:contextualSpacing/>
              <w:rPr>
                <w:rFonts w:ascii="Calibri" w:eastAsia="Calibri" w:hAnsi="Calibri" w:cs="Calibri"/>
                <w:b/>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12"/>
                <w:szCs w:val="12"/>
                <w:lang w:val="en-CA" w:eastAsia="en-CA"/>
              </w:rPr>
              <w:t xml:space="preserve"> </w:t>
            </w:r>
            <w:r w:rsidRPr="007A7A74">
              <w:rPr>
                <w:rFonts w:ascii="Calibri" w:eastAsia="Calibri" w:hAnsi="Calibri" w:cs="Calibri"/>
                <w:b/>
                <w:color w:val="0000FF"/>
                <w:sz w:val="12"/>
                <w:szCs w:val="12"/>
                <w:lang w:val="en-CA" w:eastAsia="en-CA"/>
              </w:rPr>
              <w:t xml:space="preserve">% of pilot projects that include prototyping &amp; testing of interventions </w:t>
            </w:r>
          </w:p>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12"/>
                <w:szCs w:val="12"/>
                <w:lang w:val="en-CA" w:eastAsia="en-CA"/>
              </w:rPr>
              <w:t xml:space="preserve"> [include applicable OEE indicators for existing]</w:t>
            </w:r>
          </w:p>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12"/>
                <w:szCs w:val="12"/>
                <w:lang w:val="en-CA" w:eastAsia="en-CA"/>
              </w:rPr>
              <w:t xml:space="preserve"> Users adopt the tested new interventions  </w:t>
            </w:r>
          </w:p>
        </w:tc>
        <w:tc>
          <w:tcPr>
            <w:tcW w:w="499"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12"/>
                <w:szCs w:val="12"/>
                <w:lang w:val="en-CA" w:eastAsia="en-CA"/>
                <w14:textFill>
                  <w14:solidFill>
                    <w14:srgbClr w14:val="F79646">
                      <w14:lumMod w14:val="50000"/>
                    </w14:srgbClr>
                  </w14:solidFill>
                </w14:textFill>
              </w:rPr>
              <w:t xml:space="preserve"> Tested interventions are adopted in existing program designs (policy/program scale)</w:t>
            </w:r>
          </w:p>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12"/>
                <w:szCs w:val="12"/>
                <w:lang w:val="en-CA" w:eastAsia="en-CA"/>
                <w14:textFill>
                  <w14:solidFill>
                    <w14:srgbClr w14:val="F79646">
                      <w14:lumMod w14:val="50000"/>
                    </w14:srgbClr>
                  </w14:solidFill>
                </w14:textFill>
              </w:rPr>
              <w:t xml:space="preserve"> Tested interventions inform new policy development and program designs (policy/program scale)</w:t>
            </w:r>
          </w:p>
        </w:tc>
        <w:tc>
          <w:tcPr>
            <w:tcW w:w="614" w:type="pct"/>
          </w:tcPr>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12"/>
                <w:szCs w:val="12"/>
                <w:lang w:val="en-CA" w:eastAsia="en-CA"/>
                <w14:textFill>
                  <w14:solidFill>
                    <w14:srgbClr w14:val="F79646">
                      <w14:lumMod w14:val="50000"/>
                    </w14:srgbClr>
                  </w14:solidFill>
                </w14:textFill>
              </w:rPr>
              <w:t xml:space="preserve"> [include applicable OEE indicators for existing]</w:t>
            </w:r>
          </w:p>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12"/>
                <w:szCs w:val="12"/>
                <w:lang w:val="en-CA" w:eastAsia="en-CA"/>
                <w14:textFill>
                  <w14:solidFill>
                    <w14:srgbClr w14:val="F79646">
                      <w14:lumMod w14:val="50000"/>
                    </w14:srgbClr>
                  </w14:solidFill>
                </w14:textFill>
              </w:rPr>
              <w:t xml:space="preserve"> Users adopt the tested new interventions </w:t>
            </w:r>
          </w:p>
        </w:tc>
      </w:tr>
      <w:tr w:rsidR="008E3990" w:rsidRPr="007A7A74" w:rsidTr="005B647C">
        <w:tc>
          <w:tcPr>
            <w:tcW w:w="460" w:type="pct"/>
            <w:vMerge/>
            <w:shd w:val="clear" w:color="auto" w:fill="BFBFBF"/>
            <w:vAlign w:val="center"/>
          </w:tcPr>
          <w:p w:rsidR="008E3990" w:rsidRPr="007A7A74" w:rsidRDefault="008E3990" w:rsidP="00AE1ABC">
            <w:pPr>
              <w:widowControl w:val="0"/>
              <w:spacing w:after="0" w:line="240" w:lineRule="auto"/>
              <w:rPr>
                <w:rFonts w:ascii="Calibri" w:eastAsia="Calibri" w:hAnsi="Calibri" w:cs="Calibri"/>
                <w:b/>
                <w:color w:val="000000"/>
                <w:sz w:val="20"/>
                <w:szCs w:val="20"/>
                <w:lang w:val="en-CA" w:eastAsia="en-CA"/>
              </w:rPr>
            </w:pPr>
          </w:p>
        </w:tc>
        <w:tc>
          <w:tcPr>
            <w:tcW w:w="552" w:type="pct"/>
            <w:shd w:val="clear" w:color="auto" w:fill="F2F2F2"/>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Knowledge, ability, skill and/or aspiration changes</w:t>
            </w:r>
          </w:p>
          <w:p w:rsidR="008E3990" w:rsidRPr="007A7A74" w:rsidRDefault="008E3990" w:rsidP="00AE1ABC">
            <w:pPr>
              <w:widowControl w:val="0"/>
              <w:spacing w:after="0" w:line="240" w:lineRule="auto"/>
              <w:jc w:val="center"/>
              <w:rPr>
                <w:rFonts w:ascii="Calibri" w:eastAsia="Calibri" w:hAnsi="Calibri" w:cs="Calibri"/>
                <w:b/>
                <w:color w:val="000000"/>
                <w:sz w:val="20"/>
                <w:szCs w:val="20"/>
                <w:lang w:val="en-CA" w:eastAsia="en-CA"/>
              </w:rPr>
            </w:pPr>
          </w:p>
          <w:p w:rsidR="008E3990" w:rsidRPr="007A7A74" w:rsidRDefault="008E3990" w:rsidP="00AE1ABC">
            <w:pPr>
              <w:widowControl w:val="0"/>
              <w:spacing w:after="0" w:line="240" w:lineRule="auto"/>
              <w:jc w:val="center"/>
              <w:rPr>
                <w:rFonts w:ascii="Calibri" w:eastAsia="Arial" w:hAnsi="Calibri" w:cs="Arial"/>
                <w:i/>
                <w:color w:val="000000"/>
                <w:sz w:val="12"/>
                <w:szCs w:val="12"/>
                <w:lang w:val="en-CA" w:eastAsia="en-CA"/>
              </w:rPr>
            </w:pPr>
            <w:r w:rsidRPr="007A7A74">
              <w:rPr>
                <w:rFonts w:ascii="Calibri" w:eastAsia="Arial" w:hAnsi="Calibri" w:cs="Arial"/>
                <w:i/>
                <w:color w:val="000000"/>
                <w:sz w:val="12"/>
                <w:szCs w:val="12"/>
                <w:lang w:val="en-CA" w:eastAsia="en-CA"/>
              </w:rPr>
              <w:t>Describe the level of knowledge, abilities, skills and aspirations / commitment of individuals, groups, and/or communities.</w:t>
            </w:r>
          </w:p>
          <w:p w:rsidR="008E3990" w:rsidRPr="007A7A74" w:rsidRDefault="008E3990" w:rsidP="00AE1ABC">
            <w:pPr>
              <w:widowControl w:val="0"/>
              <w:spacing w:after="0" w:line="240" w:lineRule="auto"/>
              <w:rPr>
                <w:rFonts w:ascii="Arial" w:eastAsia="Arial" w:hAnsi="Arial" w:cs="Arial"/>
                <w:i/>
                <w:color w:val="000000"/>
                <w:sz w:val="12"/>
                <w:szCs w:val="12"/>
                <w:lang w:val="en-CA" w:eastAsia="en-CA"/>
              </w:rPr>
            </w:pPr>
          </w:p>
          <w:p w:rsidR="008E3990" w:rsidRPr="007A7A74" w:rsidRDefault="008E3990" w:rsidP="00AE1ABC">
            <w:pPr>
              <w:widowControl w:val="0"/>
              <w:spacing w:after="0" w:line="240" w:lineRule="auto"/>
              <w:jc w:val="center"/>
              <w:rPr>
                <w:rFonts w:ascii="Calibri" w:eastAsia="Calibri" w:hAnsi="Calibri" w:cs="Calibri"/>
                <w:color w:val="000000"/>
                <w:sz w:val="12"/>
                <w:szCs w:val="12"/>
                <w:lang w:val="en-CA" w:eastAsia="en-CA"/>
              </w:rPr>
            </w:pPr>
            <w:r w:rsidRPr="007A7A74">
              <w:rPr>
                <w:rFonts w:ascii="Calibri" w:eastAsia="Calibri" w:hAnsi="Calibri" w:cs="Calibri"/>
                <w:color w:val="000000"/>
                <w:sz w:val="12"/>
                <w:szCs w:val="12"/>
                <w:lang w:val="en-CA" w:eastAsia="en-CA"/>
              </w:rPr>
              <w:t>[immediate result(s)]</w:t>
            </w:r>
          </w:p>
        </w:tc>
        <w:tc>
          <w:tcPr>
            <w:tcW w:w="640" w:type="pct"/>
          </w:tcPr>
          <w:p w:rsidR="008E3990" w:rsidRPr="007A7A74" w:rsidRDefault="008E3990" w:rsidP="00AE1ABC">
            <w:pPr>
              <w:widowControl w:val="0"/>
              <w:spacing w:after="0" w:line="240" w:lineRule="auto"/>
              <w:rPr>
                <w:rFonts w:ascii="Calibri" w:eastAsia="Calibri" w:hAnsi="Calibri" w:cs="Calibri"/>
                <w:color w:val="434343"/>
                <w:sz w:val="12"/>
                <w:szCs w:val="12"/>
                <w:lang w:val="en-CA" w:eastAsia="en-CA"/>
              </w:rPr>
            </w:pPr>
            <w:r w:rsidRPr="007A7A74">
              <w:rPr>
                <w:rFonts w:ascii="Calibri" w:eastAsia="Calibri" w:hAnsi="Calibri" w:cs="Calibri"/>
                <w:color w:val="434343"/>
                <w:sz w:val="12"/>
                <w:szCs w:val="12"/>
                <w:lang w:val="en-CA" w:eastAsia="en-CA"/>
              </w:rPr>
              <w:t>Lack of a shared understanding of how 21st century change drivers present opportunities &amp; challenges to the value propositions of OEE’s policies, services and tools.</w:t>
            </w:r>
          </w:p>
          <w:p w:rsidR="008E3990" w:rsidRPr="007A7A74" w:rsidRDefault="008E3990" w:rsidP="00AE1ABC">
            <w:pPr>
              <w:widowControl w:val="0"/>
              <w:spacing w:after="0" w:line="240" w:lineRule="auto"/>
              <w:rPr>
                <w:rFonts w:ascii="Calibri" w:eastAsia="Calibri" w:hAnsi="Calibri" w:cs="Calibri"/>
                <w:color w:val="434343"/>
                <w:sz w:val="12"/>
                <w:szCs w:val="12"/>
                <w:lang w:val="en-CA" w:eastAsia="en-CA"/>
              </w:rPr>
            </w:pPr>
          </w:p>
          <w:p w:rsidR="008E3990" w:rsidRPr="007A7A74" w:rsidRDefault="008E3990" w:rsidP="00AE1ABC">
            <w:pPr>
              <w:widowControl w:val="0"/>
              <w:spacing w:after="0" w:line="240" w:lineRule="auto"/>
              <w:rPr>
                <w:rFonts w:ascii="Calibri" w:eastAsia="Calibri" w:hAnsi="Calibri" w:cs="Calibri"/>
                <w:color w:val="434343"/>
                <w:sz w:val="12"/>
                <w:szCs w:val="12"/>
                <w:lang w:val="en-CA" w:eastAsia="en-CA"/>
              </w:rPr>
            </w:pPr>
            <w:r w:rsidRPr="007A7A74">
              <w:rPr>
                <w:rFonts w:ascii="Calibri" w:eastAsia="Calibri" w:hAnsi="Calibri" w:cs="Calibri"/>
                <w:color w:val="434343"/>
                <w:sz w:val="12"/>
                <w:szCs w:val="12"/>
                <w:lang w:val="en-CA" w:eastAsia="en-CA"/>
              </w:rPr>
              <w:t>Strengthened and new relationships, approaches and capabilities required to engage citizens and stakeholders in the design, testing and delivery of policies, programs and tools for continuous improvement and innovation.</w:t>
            </w:r>
          </w:p>
        </w:tc>
        <w:tc>
          <w:tcPr>
            <w:tcW w:w="511"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12"/>
                <w:szCs w:val="12"/>
                <w:lang w:val="en-CA" w:eastAsia="en-CA"/>
                <w14:textFill>
                  <w14:solidFill>
                    <w14:srgbClr w14:val="9BBB59">
                      <w14:lumMod w14:val="75000"/>
                    </w14:srgbClr>
                  </w14:solidFill>
                </w14:textFill>
              </w:rPr>
              <w:t xml:space="preserve"> Improved OEE understanding of change drivers and implications for energy use, energy efficiency and policies</w:t>
            </w:r>
          </w:p>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Improved user awareness of energy use and benefits of energy efficiency</w:t>
            </w:r>
          </w:p>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 xml:space="preserve">Improved awareness and openness to use new methods and approaches </w:t>
            </w:r>
          </w:p>
        </w:tc>
        <w:tc>
          <w:tcPr>
            <w:tcW w:w="614" w:type="pct"/>
          </w:tcPr>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Self-assessed learning &amp; use</w:t>
            </w:r>
          </w:p>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Level of knowledge recall (online metrics)</w:t>
            </w:r>
          </w:p>
        </w:tc>
        <w:tc>
          <w:tcPr>
            <w:tcW w:w="495"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12"/>
                <w:szCs w:val="12"/>
                <w:lang w:val="en-CA" w:eastAsia="en-CA"/>
              </w:rPr>
              <w:t xml:space="preserve"> Interventions are co-created, prototyped and tested directly with end users to improve design</w:t>
            </w:r>
          </w:p>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12"/>
                <w:szCs w:val="12"/>
                <w:lang w:val="en-CA" w:eastAsia="en-CA"/>
              </w:rPr>
              <w:t xml:space="preserve"> Improved understanding  of opportunities to improve, and the barriers preventing, the uptake of OEE policies, programs and tools</w:t>
            </w:r>
          </w:p>
        </w:tc>
        <w:tc>
          <w:tcPr>
            <w:tcW w:w="615" w:type="pct"/>
          </w:tcPr>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12"/>
                <w:szCs w:val="12"/>
                <w:lang w:val="en-CA" w:eastAsia="en-CA"/>
              </w:rPr>
              <w:t xml:space="preserve"> Demonstrated capabilities (via prototypes)</w:t>
            </w:r>
          </w:p>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12"/>
                <w:szCs w:val="12"/>
                <w:lang w:val="en-CA" w:eastAsia="en-CA"/>
              </w:rPr>
              <w:t xml:space="preserve"> Level of knowledge recall (e.g. online metrics)</w:t>
            </w:r>
          </w:p>
          <w:p w:rsidR="008E3990" w:rsidRPr="007A7A74" w:rsidRDefault="008E3990" w:rsidP="00AE1ABC">
            <w:pPr>
              <w:widowControl w:val="0"/>
              <w:spacing w:after="0" w:line="240" w:lineRule="auto"/>
              <w:contextualSpacing/>
              <w:rPr>
                <w:rFonts w:ascii="Calibri" w:eastAsia="Calibri" w:hAnsi="Calibri" w:cs="Calibri"/>
                <w:b/>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12"/>
                <w:szCs w:val="12"/>
                <w:lang w:val="en-CA" w:eastAsia="en-CA"/>
              </w:rPr>
              <w:t xml:space="preserve"> </w:t>
            </w:r>
            <w:r w:rsidRPr="007A7A74">
              <w:rPr>
                <w:rFonts w:ascii="Calibri" w:eastAsia="Calibri" w:hAnsi="Calibri" w:cs="Calibri"/>
                <w:b/>
                <w:color w:val="0000FF"/>
                <w:sz w:val="12"/>
                <w:szCs w:val="12"/>
                <w:lang w:val="en-CA" w:eastAsia="en-CA"/>
              </w:rPr>
              <w:t>% of pilot projects that generate insights that inform shared commitment(s) to action (e.g. prototyping, experiments, partnerships)</w:t>
            </w:r>
          </w:p>
        </w:tc>
        <w:tc>
          <w:tcPr>
            <w:tcW w:w="499"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12"/>
                <w:szCs w:val="12"/>
                <w:lang w:val="en-CA" w:eastAsia="en-CA"/>
                <w14:textFill>
                  <w14:solidFill>
                    <w14:srgbClr w14:val="F79646">
                      <w14:lumMod w14:val="50000"/>
                    </w14:srgbClr>
                  </w14:solidFill>
                </w14:textFill>
              </w:rPr>
              <w:t xml:space="preserve"> Internal and external stakeholder communities understand and are open to adopting the demonstrated improvement or innovation (policy/program scale)</w:t>
            </w:r>
          </w:p>
        </w:tc>
        <w:tc>
          <w:tcPr>
            <w:tcW w:w="614" w:type="pct"/>
          </w:tcPr>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12"/>
                <w:szCs w:val="12"/>
                <w:lang w:val="en-CA" w:eastAsia="en-CA"/>
                <w14:textFill>
                  <w14:solidFill>
                    <w14:srgbClr w14:val="F79646">
                      <w14:lumMod w14:val="50000"/>
                    </w14:srgbClr>
                  </w14:solidFill>
                </w14:textFill>
              </w:rPr>
              <w:t xml:space="preserve"> Demonstrated knowledge and understanding of new evidence</w:t>
            </w:r>
          </w:p>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12"/>
                <w:szCs w:val="12"/>
                <w:lang w:val="en-CA" w:eastAsia="en-CA"/>
                <w14:textFill>
                  <w14:solidFill>
                    <w14:srgbClr w14:val="F79646">
                      <w14:lumMod w14:val="50000"/>
                    </w14:srgbClr>
                  </w14:solidFill>
                </w14:textFill>
              </w:rPr>
              <w:t xml:space="preserve"> Self-assessed learning &amp; use</w:t>
            </w:r>
          </w:p>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12"/>
                <w:szCs w:val="12"/>
                <w:lang w:val="en-CA" w:eastAsia="en-CA"/>
                <w14:textFill>
                  <w14:solidFill>
                    <w14:srgbClr w14:val="F79646">
                      <w14:lumMod w14:val="50000"/>
                    </w14:srgbClr>
                  </w14:solidFill>
                </w14:textFill>
              </w:rPr>
              <w:t xml:space="preserve"> Level of knowledge recall (online metrics)</w:t>
            </w:r>
          </w:p>
        </w:tc>
      </w:tr>
      <w:tr w:rsidR="008E3990" w:rsidRPr="007A7A74" w:rsidTr="005B647C">
        <w:tc>
          <w:tcPr>
            <w:tcW w:w="460" w:type="pct"/>
            <w:vMerge w:val="restart"/>
            <w:shd w:val="clear" w:color="auto" w:fill="BFBFBF"/>
            <w:vAlign w:val="center"/>
          </w:tcPr>
          <w:p w:rsidR="008E3990" w:rsidRPr="007A7A74" w:rsidRDefault="008E3990" w:rsidP="00AE1ABC">
            <w:pPr>
              <w:widowControl w:val="0"/>
              <w:spacing w:after="0" w:line="240" w:lineRule="auto"/>
              <w:jc w:val="center"/>
              <w:rPr>
                <w:rFonts w:ascii="Calibri" w:eastAsia="Calibri" w:hAnsi="Calibri" w:cs="Calibri"/>
                <w:b/>
                <w:color w:val="000000"/>
                <w:sz w:val="20"/>
                <w:szCs w:val="20"/>
                <w:lang w:val="en-CA" w:eastAsia="en-CA"/>
              </w:rPr>
            </w:pPr>
            <w:r w:rsidRPr="007A7A74">
              <w:rPr>
                <w:rFonts w:ascii="Calibri" w:eastAsia="Calibri" w:hAnsi="Calibri" w:cs="Calibri"/>
                <w:b/>
                <w:color w:val="000000"/>
                <w:sz w:val="20"/>
                <w:szCs w:val="20"/>
                <w:lang w:val="en-CA" w:eastAsia="en-CA"/>
              </w:rPr>
              <w:t>WHAT by WHOM?</w:t>
            </w:r>
          </w:p>
        </w:tc>
        <w:tc>
          <w:tcPr>
            <w:tcW w:w="552" w:type="pct"/>
            <w:shd w:val="clear" w:color="auto" w:fill="F2F2F2"/>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Reactions</w:t>
            </w:r>
          </w:p>
          <w:p w:rsidR="008E3990" w:rsidRPr="007A7A74" w:rsidRDefault="008E3990" w:rsidP="00AE1ABC">
            <w:pPr>
              <w:widowControl w:val="0"/>
              <w:spacing w:after="0" w:line="240" w:lineRule="auto"/>
              <w:jc w:val="center"/>
              <w:rPr>
                <w:rFonts w:ascii="Calibri" w:eastAsia="Calibri" w:hAnsi="Calibri" w:cs="Calibri"/>
                <w:b/>
                <w:color w:val="000000"/>
                <w:sz w:val="20"/>
                <w:szCs w:val="20"/>
                <w:lang w:val="en-CA" w:eastAsia="en-CA"/>
              </w:rPr>
            </w:pPr>
            <w:r w:rsidRPr="007A7A74">
              <w:rPr>
                <w:rFonts w:ascii="Calibri" w:eastAsia="Arial" w:hAnsi="Calibri" w:cs="Arial"/>
                <w:i/>
                <w:color w:val="000000"/>
                <w:sz w:val="12"/>
                <w:szCs w:val="12"/>
                <w:lang w:val="en-CA" w:eastAsia="en-CA"/>
              </w:rPr>
              <w:t xml:space="preserve">Describe the feedback individuals, groups, and/or partners: satisfaction, interests, reported strengths and </w:t>
            </w:r>
            <w:r w:rsidRPr="007A7A74">
              <w:rPr>
                <w:rFonts w:ascii="Calibri" w:eastAsia="Arial" w:hAnsi="Calibri" w:cs="Arial"/>
                <w:i/>
                <w:color w:val="000000"/>
                <w:sz w:val="12"/>
                <w:szCs w:val="12"/>
                <w:lang w:val="en-CA" w:eastAsia="en-CA"/>
              </w:rPr>
              <w:lastRenderedPageBreak/>
              <w:t xml:space="preserve">weaknesses. </w:t>
            </w:r>
          </w:p>
        </w:tc>
        <w:tc>
          <w:tcPr>
            <w:tcW w:w="640" w:type="pct"/>
          </w:tcPr>
          <w:p w:rsidR="008E3990" w:rsidRPr="007A7A74" w:rsidRDefault="008E3990" w:rsidP="00AE1ABC">
            <w:pPr>
              <w:widowControl w:val="0"/>
              <w:spacing w:after="0" w:line="240" w:lineRule="auto"/>
              <w:rPr>
                <w:rFonts w:ascii="Calibri" w:eastAsia="Calibri" w:hAnsi="Calibri" w:cs="Calibri"/>
                <w:color w:val="434343"/>
                <w:sz w:val="12"/>
                <w:szCs w:val="12"/>
                <w:lang w:val="en-CA" w:eastAsia="en-CA"/>
              </w:rPr>
            </w:pPr>
            <w:r w:rsidRPr="007A7A74">
              <w:rPr>
                <w:rFonts w:ascii="Calibri" w:eastAsia="Calibri" w:hAnsi="Calibri" w:cs="Calibri"/>
                <w:color w:val="434343"/>
                <w:sz w:val="12"/>
                <w:szCs w:val="12"/>
                <w:lang w:val="en-CA" w:eastAsia="en-CA"/>
              </w:rPr>
              <w:lastRenderedPageBreak/>
              <w:t xml:space="preserve">OEE evaluation identified challenges with uptake and use of some of OEE’s current products and tools. It was recommended to improve awareness of and better </w:t>
            </w:r>
            <w:r w:rsidRPr="007A7A74">
              <w:rPr>
                <w:rFonts w:ascii="Calibri" w:eastAsia="Calibri" w:hAnsi="Calibri" w:cs="Calibri"/>
                <w:color w:val="434343"/>
                <w:sz w:val="12"/>
                <w:szCs w:val="12"/>
                <w:lang w:val="en-CA" w:eastAsia="en-CA"/>
              </w:rPr>
              <w:lastRenderedPageBreak/>
              <w:t>explain their value to target audiences. In some cases, OEE encouraged to enhance the value of certain tools and products.</w:t>
            </w:r>
          </w:p>
        </w:tc>
        <w:tc>
          <w:tcPr>
            <w:tcW w:w="511"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lastRenderedPageBreak/>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 xml:space="preserve">Internal and external stakeholders want to collaborate </w:t>
            </w:r>
          </w:p>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End users are open to participating in the policy process</w:t>
            </w:r>
          </w:p>
        </w:tc>
        <w:tc>
          <w:tcPr>
            <w:tcW w:w="614" w:type="pct"/>
          </w:tcPr>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Repeat and increase use of Social Innovation Unit services</w:t>
            </w:r>
          </w:p>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Partner and user feedback via post-event surveys and/or After Action Reviews</w:t>
            </w:r>
          </w:p>
        </w:tc>
        <w:tc>
          <w:tcPr>
            <w:tcW w:w="495"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8"/>
                <w:szCs w:val="8"/>
                <w:lang w:val="en-CA" w:eastAsia="en-CA"/>
              </w:rPr>
              <w:t xml:space="preserve"> </w:t>
            </w:r>
            <w:r w:rsidRPr="007A7A74">
              <w:rPr>
                <w:rFonts w:ascii="Calibri" w:eastAsia="Calibri" w:hAnsi="Calibri" w:cs="Calibri"/>
                <w:color w:val="0000FF"/>
                <w:sz w:val="12"/>
                <w:szCs w:val="12"/>
                <w:lang w:val="en-CA" w:eastAsia="en-CA"/>
              </w:rPr>
              <w:t>Participating partners and users are satisfied with the policy process design, engagement and execution</w:t>
            </w:r>
          </w:p>
        </w:tc>
        <w:tc>
          <w:tcPr>
            <w:tcW w:w="615" w:type="pct"/>
          </w:tcPr>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8"/>
                <w:szCs w:val="8"/>
                <w:lang w:val="en-CA" w:eastAsia="en-CA"/>
              </w:rPr>
              <w:t xml:space="preserve"> </w:t>
            </w:r>
            <w:r w:rsidRPr="007A7A74">
              <w:rPr>
                <w:rFonts w:ascii="Calibri" w:eastAsia="Calibri" w:hAnsi="Calibri" w:cs="Calibri"/>
                <w:color w:val="0000FF"/>
                <w:sz w:val="12"/>
                <w:szCs w:val="12"/>
                <w:lang w:val="en-CA" w:eastAsia="en-CA"/>
              </w:rPr>
              <w:t>Partner and user feedback via post-event surveys and/or After Action Reviews</w:t>
            </w:r>
          </w:p>
          <w:p w:rsidR="008E3990" w:rsidRPr="007A7A74" w:rsidRDefault="008E3990" w:rsidP="00AE1ABC">
            <w:pPr>
              <w:widowControl w:val="0"/>
              <w:spacing w:after="0" w:line="240" w:lineRule="auto"/>
              <w:rPr>
                <w:rFonts w:ascii="Calibri" w:eastAsia="Calibri" w:hAnsi="Calibri" w:cs="Calibri"/>
                <w:color w:val="9BBB59"/>
                <w:sz w:val="12"/>
                <w:szCs w:val="12"/>
                <w:lang w:val="en-CA" w:eastAsia="en-CA"/>
              </w:rPr>
            </w:pPr>
          </w:p>
        </w:tc>
        <w:tc>
          <w:tcPr>
            <w:tcW w:w="499"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8"/>
                <w:szCs w:val="8"/>
                <w:lang w:val="en-CA" w:eastAsia="en-CA"/>
                <w14:textFill>
                  <w14:solidFill>
                    <w14:srgbClr w14:val="F79646">
                      <w14:lumMod w14:val="50000"/>
                    </w14:srgbClr>
                  </w14:solidFill>
                </w14:textFill>
              </w:rPr>
              <w:t xml:space="preserve"> </w:t>
            </w:r>
            <w:r w:rsidRPr="007A7A74">
              <w:rPr>
                <w:rFonts w:ascii="Calibri" w:eastAsia="Calibri" w:hAnsi="Calibri" w:cs="Calibri"/>
                <w:color w:val="F79646"/>
                <w:sz w:val="12"/>
                <w:szCs w:val="12"/>
                <w:lang w:val="en-CA" w:eastAsia="en-CA"/>
                <w14:textFill>
                  <w14:solidFill>
                    <w14:srgbClr w14:val="F79646">
                      <w14:lumMod w14:val="50000"/>
                    </w14:srgbClr>
                  </w14:solidFill>
                </w14:textFill>
              </w:rPr>
              <w:t>Internal and external stakeholders are interested and satisfied with quality of design and results reporting</w:t>
            </w:r>
          </w:p>
          <w:p w:rsidR="008E3990" w:rsidRPr="007A7A74" w:rsidRDefault="008E3990" w:rsidP="00AE1ABC">
            <w:pPr>
              <w:widowControl w:val="0"/>
              <w:spacing w:after="0" w:line="240" w:lineRule="auto"/>
              <w:rPr>
                <w:rFonts w:ascii="Calibri" w:eastAsia="Calibri" w:hAnsi="Calibri" w:cs="Calibri"/>
                <w:color w:val="F79646"/>
                <w:sz w:val="12"/>
                <w:szCs w:val="12"/>
                <w:lang w:val="en-CA" w:eastAsia="en-CA"/>
                <w14:textFill>
                  <w14:solidFill>
                    <w14:srgbClr w14:val="F79646">
                      <w14:lumMod w14:val="50000"/>
                    </w14:srgbClr>
                  </w14:solidFill>
                </w14:textFill>
              </w:rPr>
            </w:pPr>
          </w:p>
        </w:tc>
        <w:tc>
          <w:tcPr>
            <w:tcW w:w="614" w:type="pct"/>
          </w:tcPr>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8"/>
                <w:szCs w:val="8"/>
                <w:lang w:val="en-CA" w:eastAsia="en-CA"/>
                <w14:textFill>
                  <w14:solidFill>
                    <w14:srgbClr w14:val="F79646">
                      <w14:lumMod w14:val="50000"/>
                    </w14:srgbClr>
                  </w14:solidFill>
                </w14:textFill>
              </w:rPr>
              <w:t xml:space="preserve"> </w:t>
            </w:r>
            <w:r w:rsidRPr="007A7A74">
              <w:rPr>
                <w:rFonts w:ascii="Calibri" w:eastAsia="Calibri" w:hAnsi="Calibri" w:cs="Calibri"/>
                <w:color w:val="F79646"/>
                <w:sz w:val="12"/>
                <w:szCs w:val="12"/>
                <w:lang w:val="en-CA" w:eastAsia="en-CA"/>
                <w14:textFill>
                  <w14:solidFill>
                    <w14:srgbClr w14:val="F79646">
                      <w14:lumMod w14:val="50000"/>
                    </w14:srgbClr>
                  </w14:solidFill>
                </w14:textFill>
              </w:rPr>
              <w:t>Stakeholder feedback via post-event surveys and/or After Action Reviews</w:t>
            </w:r>
          </w:p>
          <w:p w:rsidR="008E3990" w:rsidRPr="007A7A74" w:rsidRDefault="008E3990" w:rsidP="00AE1ABC">
            <w:pPr>
              <w:widowControl w:val="0"/>
              <w:spacing w:after="0" w:line="240" w:lineRule="auto"/>
              <w:rPr>
                <w:rFonts w:ascii="Calibri" w:eastAsia="Calibri" w:hAnsi="Calibri" w:cs="Calibri"/>
                <w:color w:val="F79646"/>
                <w:sz w:val="12"/>
                <w:szCs w:val="12"/>
                <w:lang w:val="en-CA" w:eastAsia="en-CA"/>
                <w14:textFill>
                  <w14:solidFill>
                    <w14:srgbClr w14:val="F79646">
                      <w14:lumMod w14:val="50000"/>
                    </w14:srgbClr>
                  </w14:solidFill>
                </w14:textFill>
              </w:rPr>
            </w:pPr>
          </w:p>
        </w:tc>
      </w:tr>
      <w:tr w:rsidR="008E3990" w:rsidRPr="007A7A74" w:rsidTr="005B647C">
        <w:tc>
          <w:tcPr>
            <w:tcW w:w="460" w:type="pct"/>
            <w:vMerge/>
            <w:shd w:val="clear" w:color="auto" w:fill="BFBFBF"/>
            <w:vAlign w:val="center"/>
          </w:tcPr>
          <w:p w:rsidR="008E3990" w:rsidRPr="007A7A74" w:rsidRDefault="008E3990" w:rsidP="00AE1ABC">
            <w:pPr>
              <w:widowControl w:val="0"/>
              <w:spacing w:after="0" w:line="240" w:lineRule="auto"/>
              <w:rPr>
                <w:rFonts w:ascii="Calibri" w:eastAsia="Calibri" w:hAnsi="Calibri" w:cs="Calibri"/>
                <w:b/>
                <w:color w:val="000000"/>
                <w:sz w:val="20"/>
                <w:szCs w:val="20"/>
                <w:lang w:val="en-CA" w:eastAsia="en-CA"/>
              </w:rPr>
            </w:pPr>
          </w:p>
        </w:tc>
        <w:tc>
          <w:tcPr>
            <w:tcW w:w="552" w:type="pct"/>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Engagement/ involvement</w:t>
            </w:r>
          </w:p>
          <w:p w:rsidR="008E3990" w:rsidRPr="007A7A74" w:rsidRDefault="008E3990" w:rsidP="00AE1ABC">
            <w:pPr>
              <w:widowControl w:val="0"/>
              <w:spacing w:after="0" w:line="240" w:lineRule="auto"/>
              <w:jc w:val="center"/>
              <w:rPr>
                <w:rFonts w:ascii="Calibri" w:eastAsia="Calibri" w:hAnsi="Calibri" w:cs="Calibri"/>
                <w:b/>
                <w:color w:val="000000"/>
                <w:sz w:val="20"/>
                <w:szCs w:val="20"/>
                <w:lang w:val="en-CA" w:eastAsia="en-CA"/>
              </w:rPr>
            </w:pPr>
            <w:r w:rsidRPr="007A7A74">
              <w:rPr>
                <w:rFonts w:ascii="Calibri" w:eastAsia="Arial" w:hAnsi="Calibri" w:cs="Arial"/>
                <w:i/>
                <w:color w:val="000000"/>
                <w:sz w:val="12"/>
                <w:szCs w:val="12"/>
                <w:lang w:val="en-CA" w:eastAsia="en-CA"/>
              </w:rPr>
              <w:t>Describe the characteristics of individuals, groups, and co-deliverers: numbers, nature of involvement.</w:t>
            </w:r>
          </w:p>
        </w:tc>
        <w:tc>
          <w:tcPr>
            <w:tcW w:w="640" w:type="pct"/>
          </w:tcPr>
          <w:p w:rsidR="008E3990" w:rsidRPr="007A7A74" w:rsidRDefault="008E3990" w:rsidP="00AE1ABC">
            <w:pPr>
              <w:widowControl w:val="0"/>
              <w:spacing w:after="0" w:line="240" w:lineRule="auto"/>
              <w:rPr>
                <w:rFonts w:ascii="Calibri" w:eastAsia="Calibri" w:hAnsi="Calibri" w:cs="Calibri"/>
                <w:color w:val="434343"/>
                <w:sz w:val="12"/>
                <w:szCs w:val="12"/>
                <w:lang w:val="en-CA" w:eastAsia="en-CA"/>
              </w:rPr>
            </w:pPr>
            <w:r w:rsidRPr="007A7A74">
              <w:rPr>
                <w:rFonts w:ascii="Calibri" w:eastAsia="Calibri" w:hAnsi="Calibri" w:cs="Calibri"/>
                <w:color w:val="434343"/>
                <w:sz w:val="12"/>
                <w:szCs w:val="12"/>
                <w:lang w:val="en-CA" w:eastAsia="en-CA"/>
              </w:rPr>
              <w:t>Existing engagement with FPTs, municipalities, stakeholders and citizens is transactional in nature, generally speaking. There are new and emerging stakeholders to consider and engage, including citizens.</w:t>
            </w:r>
          </w:p>
        </w:tc>
        <w:tc>
          <w:tcPr>
            <w:tcW w:w="511" w:type="pct"/>
            <w:shd w:val="clear" w:color="auto" w:fill="F2F2F2"/>
          </w:tcPr>
          <w:p w:rsidR="008E3990" w:rsidRPr="007A7A74" w:rsidRDefault="008E3990" w:rsidP="00AE1ABC">
            <w:pPr>
              <w:widowControl w:val="0"/>
              <w:spacing w:after="0" w:line="240" w:lineRule="auto"/>
              <w:rPr>
                <w:rFonts w:ascii="Calibri" w:eastAsia="Calibri" w:hAnsi="Calibri" w:cs="Calibri"/>
                <w:color w:val="9BBB59"/>
                <w:sz w:val="12"/>
                <w:szCs w:val="12"/>
                <w:lang w:val="en-CA" w:eastAsia="en-CA"/>
                <w14:textFill>
                  <w14:solidFill>
                    <w14:srgbClr w14:val="9BBB59">
                      <w14:lumMod w14:val="75000"/>
                    </w14:srgbClr>
                  </w14:solidFill>
                </w14:textFill>
              </w:rPr>
            </w:pPr>
          </w:p>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OEE policy and program teams are engaged to identify innovation opportunities and challenges</w:t>
            </w:r>
          </w:p>
          <w:p w:rsidR="008E3990" w:rsidRPr="007A7A74" w:rsidRDefault="008E3990" w:rsidP="00AE1ABC">
            <w:pPr>
              <w:widowControl w:val="0"/>
              <w:spacing w:after="0" w:line="240" w:lineRule="auto"/>
              <w:rPr>
                <w:rFonts w:ascii="Calibri" w:eastAsia="Calibri" w:hAnsi="Calibri" w:cs="Calibri"/>
                <w:color w:val="9BBB59"/>
                <w:sz w:val="12"/>
                <w:szCs w:val="12"/>
                <w:lang w:val="en-CA" w:eastAsia="en-CA"/>
                <w14:textFill>
                  <w14:solidFill>
                    <w14:srgbClr w14:val="9BBB59">
                      <w14:lumMod w14:val="75000"/>
                    </w14:srgbClr>
                  </w14:solidFill>
                </w14:textFill>
              </w:rPr>
            </w:pPr>
          </w:p>
        </w:tc>
        <w:tc>
          <w:tcPr>
            <w:tcW w:w="614" w:type="pct"/>
          </w:tcPr>
          <w:p w:rsidR="008E3990" w:rsidRPr="007A7A74" w:rsidRDefault="008E3990" w:rsidP="00AE1ABC">
            <w:pPr>
              <w:widowControl w:val="0"/>
              <w:spacing w:after="0" w:line="240" w:lineRule="auto"/>
              <w:rPr>
                <w:rFonts w:ascii="Calibri" w:eastAsia="Calibri" w:hAnsi="Calibri" w:cs="Calibri"/>
                <w:color w:val="9BBB59"/>
                <w:sz w:val="12"/>
                <w:szCs w:val="12"/>
                <w:lang w:val="en-CA" w:eastAsia="en-CA"/>
                <w14:textFill>
                  <w14:solidFill>
                    <w14:srgbClr w14:val="9BBB59">
                      <w14:lumMod w14:val="75000"/>
                    </w14:srgbClr>
                  </w14:solidFill>
                </w14:textFill>
              </w:rPr>
            </w:pPr>
          </w:p>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 of pilot projects that have at least one OEE partner</w:t>
            </w:r>
          </w:p>
        </w:tc>
        <w:tc>
          <w:tcPr>
            <w:tcW w:w="495"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8"/>
                <w:szCs w:val="8"/>
                <w:lang w:val="en-CA" w:eastAsia="en-CA"/>
              </w:rPr>
              <w:t xml:space="preserve"> </w:t>
            </w:r>
            <w:r w:rsidRPr="007A7A74">
              <w:rPr>
                <w:rFonts w:ascii="Calibri" w:eastAsia="Calibri" w:hAnsi="Calibri" w:cs="Calibri"/>
                <w:color w:val="0000FF"/>
                <w:sz w:val="12"/>
                <w:szCs w:val="12"/>
                <w:lang w:val="en-CA" w:eastAsia="en-CA"/>
              </w:rPr>
              <w:t>Internal and external partners collaborate  on projects and initiatives</w:t>
            </w:r>
          </w:p>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8"/>
                <w:szCs w:val="8"/>
                <w:lang w:val="en-CA" w:eastAsia="en-CA"/>
              </w:rPr>
              <w:t xml:space="preserve"> </w:t>
            </w:r>
            <w:r w:rsidRPr="007A7A74">
              <w:rPr>
                <w:rFonts w:ascii="Calibri" w:eastAsia="Calibri" w:hAnsi="Calibri" w:cs="Calibri"/>
                <w:color w:val="0000FF"/>
                <w:sz w:val="12"/>
                <w:szCs w:val="12"/>
                <w:lang w:val="en-CA" w:eastAsia="en-CA"/>
              </w:rPr>
              <w:t>End users of policies, programs or tools are directly engaged</w:t>
            </w:r>
          </w:p>
        </w:tc>
        <w:tc>
          <w:tcPr>
            <w:tcW w:w="615" w:type="pct"/>
          </w:tcPr>
          <w:p w:rsidR="008E3990" w:rsidRPr="007A7A74" w:rsidRDefault="008E3990" w:rsidP="00AE1ABC">
            <w:pPr>
              <w:widowControl w:val="0"/>
              <w:spacing w:after="0" w:line="240" w:lineRule="auto"/>
              <w:contextualSpacing/>
              <w:rPr>
                <w:rFonts w:ascii="Calibri" w:eastAsia="Calibri" w:hAnsi="Calibri" w:cs="Calibri"/>
                <w:b/>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8"/>
                <w:szCs w:val="8"/>
                <w:lang w:val="en-CA" w:eastAsia="en-CA"/>
              </w:rPr>
              <w:t xml:space="preserve"> </w:t>
            </w:r>
            <w:r w:rsidRPr="007A7A74">
              <w:rPr>
                <w:rFonts w:ascii="Calibri" w:eastAsia="Calibri" w:hAnsi="Calibri" w:cs="Calibri"/>
                <w:b/>
                <w:color w:val="0000FF"/>
                <w:sz w:val="12"/>
                <w:szCs w:val="12"/>
                <w:lang w:val="en-CA" w:eastAsia="en-CA"/>
              </w:rPr>
              <w:t>% of pilot projects that have at least one partner</w:t>
            </w:r>
          </w:p>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8"/>
                <w:szCs w:val="8"/>
                <w:lang w:val="en-CA" w:eastAsia="en-CA"/>
              </w:rPr>
              <w:t xml:space="preserve"> </w:t>
            </w:r>
            <w:r w:rsidRPr="007A7A74">
              <w:rPr>
                <w:rFonts w:ascii="Calibri" w:eastAsia="Calibri" w:hAnsi="Calibri" w:cs="Calibri"/>
                <w:b/>
                <w:color w:val="0000FF"/>
                <w:sz w:val="12"/>
                <w:szCs w:val="12"/>
                <w:lang w:val="en-CA" w:eastAsia="en-CA"/>
              </w:rPr>
              <w:t>% of pilot projects that involve direct engagement with end users</w:t>
            </w:r>
          </w:p>
        </w:tc>
        <w:tc>
          <w:tcPr>
            <w:tcW w:w="499"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8"/>
                <w:szCs w:val="8"/>
                <w:lang w:val="en-CA" w:eastAsia="en-CA"/>
                <w14:textFill>
                  <w14:solidFill>
                    <w14:srgbClr w14:val="F79646">
                      <w14:lumMod w14:val="50000"/>
                    </w14:srgbClr>
                  </w14:solidFill>
                </w14:textFill>
              </w:rPr>
              <w:t xml:space="preserve"> </w:t>
            </w:r>
            <w:r w:rsidRPr="007A7A74">
              <w:rPr>
                <w:rFonts w:ascii="Calibri" w:eastAsia="Calibri" w:hAnsi="Calibri" w:cs="Calibri"/>
                <w:color w:val="F79646"/>
                <w:sz w:val="12"/>
                <w:szCs w:val="12"/>
                <w:lang w:val="en-CA" w:eastAsia="en-CA"/>
                <w14:textFill>
                  <w14:solidFill>
                    <w14:srgbClr w14:val="F79646">
                      <w14:lumMod w14:val="50000"/>
                    </w14:srgbClr>
                  </w14:solidFill>
                </w14:textFill>
              </w:rPr>
              <w:t>Research and results are shared with a broader range of stakeholder communities (internal and external)</w:t>
            </w:r>
          </w:p>
        </w:tc>
        <w:tc>
          <w:tcPr>
            <w:tcW w:w="614" w:type="pct"/>
          </w:tcPr>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8"/>
                <w:szCs w:val="8"/>
                <w:lang w:val="en-CA" w:eastAsia="en-CA"/>
                <w14:textFill>
                  <w14:solidFill>
                    <w14:srgbClr w14:val="F79646">
                      <w14:lumMod w14:val="50000"/>
                    </w14:srgbClr>
                  </w14:solidFill>
                </w14:textFill>
              </w:rPr>
              <w:t xml:space="preserve"> </w:t>
            </w:r>
            <w:r w:rsidRPr="007A7A74">
              <w:rPr>
                <w:rFonts w:ascii="Calibri" w:eastAsia="Calibri" w:hAnsi="Calibri" w:cs="Calibri"/>
                <w:color w:val="F79646"/>
                <w:sz w:val="12"/>
                <w:szCs w:val="12"/>
                <w:lang w:val="en-CA" w:eastAsia="en-CA"/>
                <w14:textFill>
                  <w14:solidFill>
                    <w14:srgbClr w14:val="F79646">
                      <w14:lumMod w14:val="50000"/>
                    </w14:srgbClr>
                  </w14:solidFill>
                </w14:textFill>
              </w:rPr>
              <w:t>% of pilot projects that are openly reported</w:t>
            </w:r>
          </w:p>
        </w:tc>
      </w:tr>
      <w:tr w:rsidR="008E3990" w:rsidRPr="007A7A74" w:rsidTr="005B647C">
        <w:tc>
          <w:tcPr>
            <w:tcW w:w="460" w:type="pct"/>
            <w:vMerge w:val="restart"/>
            <w:shd w:val="clear" w:color="auto" w:fill="BFBFBF"/>
            <w:vAlign w:val="center"/>
          </w:tcPr>
          <w:p w:rsidR="008E3990" w:rsidRPr="007A7A74" w:rsidRDefault="008E3990" w:rsidP="00AE1ABC">
            <w:pPr>
              <w:widowControl w:val="0"/>
              <w:spacing w:after="0" w:line="240" w:lineRule="auto"/>
              <w:jc w:val="center"/>
              <w:rPr>
                <w:rFonts w:ascii="Calibri" w:eastAsia="Calibri" w:hAnsi="Calibri" w:cs="Calibri"/>
                <w:b/>
                <w:color w:val="000000"/>
                <w:sz w:val="20"/>
                <w:szCs w:val="20"/>
                <w:lang w:val="en-CA" w:eastAsia="en-CA"/>
              </w:rPr>
            </w:pPr>
            <w:r w:rsidRPr="007A7A74">
              <w:rPr>
                <w:rFonts w:ascii="Calibri" w:eastAsia="Calibri" w:hAnsi="Calibri" w:cs="Calibri"/>
                <w:b/>
                <w:color w:val="000000"/>
                <w:sz w:val="20"/>
                <w:szCs w:val="20"/>
                <w:lang w:val="en-CA" w:eastAsia="en-CA"/>
              </w:rPr>
              <w:t>HOW?</w:t>
            </w:r>
          </w:p>
        </w:tc>
        <w:tc>
          <w:tcPr>
            <w:tcW w:w="552" w:type="pct"/>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Activities / outputs</w:t>
            </w:r>
          </w:p>
          <w:p w:rsidR="008E3990" w:rsidRPr="007A7A74" w:rsidRDefault="008E3990" w:rsidP="00AE1ABC">
            <w:pPr>
              <w:widowControl w:val="0"/>
              <w:spacing w:after="0" w:line="240" w:lineRule="auto"/>
              <w:jc w:val="center"/>
              <w:rPr>
                <w:rFonts w:ascii="Calibri" w:eastAsia="Arial" w:hAnsi="Calibri" w:cs="Arial"/>
                <w:i/>
                <w:color w:val="000000"/>
                <w:sz w:val="12"/>
                <w:szCs w:val="12"/>
                <w:lang w:val="en-CA" w:eastAsia="en-CA"/>
              </w:rPr>
            </w:pPr>
            <w:r w:rsidRPr="007A7A74">
              <w:rPr>
                <w:rFonts w:ascii="Calibri" w:eastAsia="Arial" w:hAnsi="Calibri" w:cs="Arial"/>
                <w:i/>
                <w:color w:val="000000"/>
                <w:sz w:val="12"/>
                <w:szCs w:val="12"/>
                <w:lang w:val="en-CA" w:eastAsia="en-CA"/>
              </w:rPr>
              <w:t>Describe the activity:</w:t>
            </w:r>
          </w:p>
          <w:p w:rsidR="008E3990" w:rsidRPr="007A7A74" w:rsidRDefault="008E3990" w:rsidP="00AE1ABC">
            <w:pPr>
              <w:widowControl w:val="0"/>
              <w:spacing w:after="0" w:line="240" w:lineRule="auto"/>
              <w:jc w:val="center"/>
              <w:rPr>
                <w:rFonts w:ascii="Calibri" w:eastAsia="Calibri" w:hAnsi="Calibri" w:cs="Calibri"/>
                <w:b/>
                <w:color w:val="000000"/>
                <w:sz w:val="20"/>
                <w:szCs w:val="20"/>
                <w:lang w:val="en-CA" w:eastAsia="en-CA"/>
              </w:rPr>
            </w:pPr>
            <w:r w:rsidRPr="007A7A74">
              <w:rPr>
                <w:rFonts w:ascii="Calibri" w:eastAsia="Arial" w:hAnsi="Calibri" w:cs="Arial"/>
                <w:i/>
                <w:color w:val="000000"/>
                <w:sz w:val="12"/>
                <w:szCs w:val="12"/>
                <w:lang w:val="en-CA" w:eastAsia="en-CA"/>
              </w:rPr>
              <w:t>How will it be implemented? What does it offer?</w:t>
            </w:r>
          </w:p>
        </w:tc>
        <w:tc>
          <w:tcPr>
            <w:tcW w:w="640" w:type="pct"/>
          </w:tcPr>
          <w:p w:rsidR="008E3990" w:rsidRPr="007A7A74" w:rsidRDefault="008E3990" w:rsidP="00AE1ABC">
            <w:pPr>
              <w:widowControl w:val="0"/>
              <w:spacing w:after="0" w:line="240" w:lineRule="auto"/>
              <w:rPr>
                <w:rFonts w:ascii="Calibri" w:eastAsia="Calibri" w:hAnsi="Calibri" w:cs="Calibri"/>
                <w:color w:val="434343"/>
                <w:sz w:val="12"/>
                <w:szCs w:val="12"/>
                <w:lang w:val="en-CA" w:eastAsia="en-CA"/>
              </w:rPr>
            </w:pPr>
            <w:r w:rsidRPr="007A7A74">
              <w:rPr>
                <w:rFonts w:ascii="Calibri" w:eastAsia="Calibri" w:hAnsi="Calibri" w:cs="Calibri"/>
                <w:color w:val="434343"/>
                <w:sz w:val="12"/>
                <w:szCs w:val="12"/>
                <w:lang w:val="en-CA" w:eastAsia="en-CA"/>
              </w:rPr>
              <w:t xml:space="preserve">OEE’s traditional policy methods, instruments and approaches are well established and used. Current conditions and practices support existing policy development and program delivery. </w:t>
            </w:r>
          </w:p>
          <w:p w:rsidR="008E3990" w:rsidRPr="007A7A74" w:rsidRDefault="008E3990" w:rsidP="00AE1ABC">
            <w:pPr>
              <w:widowControl w:val="0"/>
              <w:spacing w:after="0" w:line="240" w:lineRule="auto"/>
              <w:rPr>
                <w:rFonts w:ascii="Calibri" w:eastAsia="Calibri" w:hAnsi="Calibri" w:cs="Calibri"/>
                <w:color w:val="434343"/>
                <w:sz w:val="12"/>
                <w:szCs w:val="12"/>
                <w:lang w:val="en-CA" w:eastAsia="en-CA"/>
              </w:rPr>
            </w:pPr>
          </w:p>
          <w:p w:rsidR="008E3990" w:rsidRPr="007A7A74" w:rsidRDefault="008E3990" w:rsidP="00AE1ABC">
            <w:pPr>
              <w:widowControl w:val="0"/>
              <w:spacing w:after="0" w:line="240" w:lineRule="auto"/>
              <w:rPr>
                <w:rFonts w:ascii="Calibri" w:eastAsia="Calibri" w:hAnsi="Calibri" w:cs="Calibri"/>
                <w:color w:val="434343"/>
                <w:sz w:val="12"/>
                <w:szCs w:val="12"/>
                <w:lang w:val="en-CA" w:eastAsia="en-CA"/>
              </w:rPr>
            </w:pPr>
            <w:r w:rsidRPr="007A7A74">
              <w:rPr>
                <w:rFonts w:ascii="Calibri" w:eastAsia="Calibri" w:hAnsi="Calibri" w:cs="Calibri"/>
                <w:color w:val="434343"/>
                <w:sz w:val="12"/>
                <w:szCs w:val="12"/>
                <w:lang w:val="en-CA" w:eastAsia="en-CA"/>
              </w:rPr>
              <w:t xml:space="preserve">The principles and practices of social innovation and experimentation have recently been introduced and are not established or widely used. </w:t>
            </w:r>
          </w:p>
        </w:tc>
        <w:tc>
          <w:tcPr>
            <w:tcW w:w="511"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Network analysis &amp; connections</w:t>
            </w:r>
          </w:p>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Stakeholder engagement</w:t>
            </w:r>
          </w:p>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Exploratory meetings</w:t>
            </w:r>
          </w:p>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Scanning and co-sensing sessions</w:t>
            </w:r>
          </w:p>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System and process mapping</w:t>
            </w:r>
          </w:p>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Evidence mapping &amp; research reviews</w:t>
            </w:r>
          </w:p>
        </w:tc>
        <w:tc>
          <w:tcPr>
            <w:tcW w:w="614" w:type="pct"/>
          </w:tcPr>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 of workshops/ project</w:t>
            </w:r>
          </w:p>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 of project milestones delivered within timelines</w:t>
            </w:r>
          </w:p>
        </w:tc>
        <w:tc>
          <w:tcPr>
            <w:tcW w:w="495"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8"/>
                <w:szCs w:val="8"/>
                <w:lang w:val="en-CA" w:eastAsia="en-CA"/>
              </w:rPr>
              <w:t xml:space="preserve"> </w:t>
            </w:r>
            <w:r w:rsidRPr="007A7A74">
              <w:rPr>
                <w:rFonts w:ascii="Calibri" w:eastAsia="Calibri" w:hAnsi="Calibri" w:cs="Calibri"/>
                <w:color w:val="0000FF"/>
                <w:sz w:val="12"/>
                <w:szCs w:val="12"/>
                <w:lang w:val="en-CA" w:eastAsia="en-CA"/>
              </w:rPr>
              <w:t>User research</w:t>
            </w:r>
          </w:p>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8"/>
                <w:szCs w:val="8"/>
                <w:lang w:val="en-CA" w:eastAsia="en-CA"/>
              </w:rPr>
              <w:t xml:space="preserve"> </w:t>
            </w:r>
            <w:r w:rsidRPr="007A7A74">
              <w:rPr>
                <w:rFonts w:ascii="Calibri" w:eastAsia="Calibri" w:hAnsi="Calibri" w:cs="Calibri"/>
                <w:color w:val="0000FF"/>
                <w:sz w:val="12"/>
                <w:szCs w:val="12"/>
                <w:lang w:val="en-CA" w:eastAsia="en-CA"/>
              </w:rPr>
              <w:t>Co-design processes &amp; sessions</w:t>
            </w:r>
          </w:p>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8"/>
                <w:szCs w:val="8"/>
                <w:lang w:val="en-CA" w:eastAsia="en-CA"/>
              </w:rPr>
              <w:t xml:space="preserve"> </w:t>
            </w:r>
            <w:r w:rsidRPr="007A7A74">
              <w:rPr>
                <w:rFonts w:ascii="Calibri" w:eastAsia="Calibri" w:hAnsi="Calibri" w:cs="Calibri"/>
                <w:color w:val="0000FF"/>
                <w:sz w:val="12"/>
                <w:szCs w:val="12"/>
                <w:lang w:val="en-CA" w:eastAsia="en-CA"/>
              </w:rPr>
              <w:t>Crowdsourcing</w:t>
            </w:r>
          </w:p>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8"/>
                <w:szCs w:val="8"/>
                <w:lang w:val="en-CA" w:eastAsia="en-CA"/>
              </w:rPr>
              <w:t xml:space="preserve"> </w:t>
            </w:r>
            <w:r w:rsidRPr="007A7A74">
              <w:rPr>
                <w:rFonts w:ascii="Calibri" w:eastAsia="Calibri" w:hAnsi="Calibri" w:cs="Calibri"/>
                <w:color w:val="0000FF"/>
                <w:sz w:val="12"/>
                <w:szCs w:val="12"/>
                <w:lang w:val="en-CA" w:eastAsia="en-CA"/>
              </w:rPr>
              <w:t>Open ideation &amp; prototyping sessions</w:t>
            </w:r>
          </w:p>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12"/>
                <w:szCs w:val="12"/>
                <w:lang w:val="en-CA" w:eastAsia="en-CA"/>
              </w:rPr>
              <w:t xml:space="preserve"> (Quasi-)experiments</w:t>
            </w:r>
          </w:p>
          <w:p w:rsidR="008E3990" w:rsidRPr="007A7A74" w:rsidRDefault="008E3990" w:rsidP="00AE1ABC">
            <w:pPr>
              <w:widowControl w:val="0"/>
              <w:spacing w:after="0" w:line="240" w:lineRule="auto"/>
              <w:rPr>
                <w:rFonts w:ascii="Calibri" w:eastAsia="Calibri" w:hAnsi="Calibri" w:cs="Calibri"/>
                <w:color w:val="9BBB59"/>
                <w:sz w:val="12"/>
                <w:szCs w:val="12"/>
                <w:lang w:val="en-CA" w:eastAsia="en-CA"/>
              </w:rPr>
            </w:pPr>
          </w:p>
          <w:p w:rsidR="008E3990" w:rsidRPr="007A7A74" w:rsidRDefault="008E3990" w:rsidP="00AE1ABC">
            <w:pPr>
              <w:widowControl w:val="0"/>
              <w:spacing w:after="0" w:line="240" w:lineRule="auto"/>
              <w:rPr>
                <w:rFonts w:ascii="Calibri" w:eastAsia="Calibri" w:hAnsi="Calibri" w:cs="Calibri"/>
                <w:color w:val="000000"/>
                <w:sz w:val="12"/>
                <w:szCs w:val="12"/>
                <w:lang w:val="en-CA" w:eastAsia="en-CA"/>
              </w:rPr>
            </w:pPr>
          </w:p>
          <w:p w:rsidR="008E3990" w:rsidRPr="007A7A74" w:rsidRDefault="008E3990" w:rsidP="00AE1ABC">
            <w:pPr>
              <w:widowControl w:val="0"/>
              <w:spacing w:after="0" w:line="240" w:lineRule="auto"/>
              <w:ind w:left="360"/>
              <w:rPr>
                <w:rFonts w:ascii="Calibri" w:eastAsia="Calibri" w:hAnsi="Calibri" w:cs="Calibri"/>
                <w:color w:val="000000"/>
                <w:sz w:val="12"/>
                <w:szCs w:val="12"/>
                <w:lang w:val="en-CA" w:eastAsia="en-CA"/>
              </w:rPr>
            </w:pPr>
          </w:p>
        </w:tc>
        <w:tc>
          <w:tcPr>
            <w:tcW w:w="615" w:type="pct"/>
          </w:tcPr>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8"/>
                <w:szCs w:val="8"/>
                <w:lang w:val="en-CA" w:eastAsia="en-CA"/>
              </w:rPr>
              <w:t xml:space="preserve"> </w:t>
            </w:r>
            <w:r w:rsidRPr="007A7A74">
              <w:rPr>
                <w:rFonts w:ascii="Calibri" w:eastAsia="Calibri" w:hAnsi="Calibri" w:cs="Calibri"/>
                <w:color w:val="0000FF"/>
                <w:sz w:val="12"/>
                <w:szCs w:val="12"/>
                <w:lang w:val="en-CA" w:eastAsia="en-CA"/>
              </w:rPr>
              <w:t># of workshops/ project</w:t>
            </w:r>
          </w:p>
          <w:p w:rsidR="008E3990" w:rsidRPr="007A7A74" w:rsidRDefault="008E3990" w:rsidP="00AE1ABC">
            <w:pPr>
              <w:widowControl w:val="0"/>
              <w:spacing w:after="0" w:line="240" w:lineRule="auto"/>
              <w:contextualSpacing/>
              <w:rPr>
                <w:rFonts w:ascii="Calibri" w:eastAsia="Calibri" w:hAnsi="Calibri" w:cs="Calibri"/>
                <w:color w:val="0000FF"/>
                <w:sz w:val="12"/>
                <w:szCs w:val="12"/>
                <w:lang w:val="en-CA" w:eastAsia="en-CA"/>
              </w:rPr>
            </w:pPr>
            <w:r w:rsidRPr="007A7A74">
              <w:rPr>
                <w:rFonts w:ascii="Calibri" w:eastAsia="Calibri" w:hAnsi="Calibri" w:cs="Calibri"/>
                <w:color w:val="0000FF"/>
                <w:sz w:val="8"/>
                <w:szCs w:val="8"/>
                <w:lang w:val="en-CA" w:eastAsia="en-CA"/>
              </w:rPr>
              <w:sym w:font="Wingdings" w:char="F06C"/>
            </w:r>
            <w:r w:rsidRPr="007A7A74">
              <w:rPr>
                <w:rFonts w:ascii="Calibri" w:eastAsia="Calibri" w:hAnsi="Calibri" w:cs="Calibri"/>
                <w:color w:val="0000FF"/>
                <w:sz w:val="8"/>
                <w:szCs w:val="8"/>
                <w:lang w:val="en-CA" w:eastAsia="en-CA"/>
              </w:rPr>
              <w:t xml:space="preserve"> </w:t>
            </w:r>
            <w:r w:rsidRPr="007A7A74">
              <w:rPr>
                <w:rFonts w:ascii="Calibri" w:eastAsia="Calibri" w:hAnsi="Calibri" w:cs="Calibri"/>
                <w:color w:val="0000FF"/>
                <w:sz w:val="12"/>
                <w:szCs w:val="12"/>
                <w:lang w:val="en-CA" w:eastAsia="en-CA"/>
              </w:rPr>
              <w:t>% of project milestones delivered within timelines</w:t>
            </w:r>
          </w:p>
          <w:p w:rsidR="008E3990" w:rsidRPr="007A7A74" w:rsidRDefault="008E3990" w:rsidP="00AE1ABC">
            <w:pPr>
              <w:widowControl w:val="0"/>
              <w:spacing w:after="0" w:line="240" w:lineRule="auto"/>
              <w:rPr>
                <w:rFonts w:ascii="Calibri" w:eastAsia="Calibri" w:hAnsi="Calibri" w:cs="Calibri"/>
                <w:color w:val="9BBB59"/>
                <w:sz w:val="12"/>
                <w:szCs w:val="12"/>
                <w:lang w:val="en-CA" w:eastAsia="en-CA"/>
              </w:rPr>
            </w:pPr>
          </w:p>
        </w:tc>
        <w:tc>
          <w:tcPr>
            <w:tcW w:w="499" w:type="pct"/>
            <w:shd w:val="clear" w:color="auto" w:fill="F2F2F2"/>
          </w:tcPr>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8"/>
                <w:szCs w:val="8"/>
                <w:lang w:val="en-CA" w:eastAsia="en-CA"/>
                <w14:textFill>
                  <w14:solidFill>
                    <w14:srgbClr w14:val="F79646">
                      <w14:lumMod w14:val="50000"/>
                    </w14:srgbClr>
                  </w14:solidFill>
                </w14:textFill>
              </w:rPr>
              <w:t xml:space="preserve"> </w:t>
            </w:r>
            <w:r w:rsidRPr="007A7A74">
              <w:rPr>
                <w:rFonts w:ascii="Calibri" w:eastAsia="Calibri" w:hAnsi="Calibri" w:cs="Calibri"/>
                <w:color w:val="F79646"/>
                <w:sz w:val="12"/>
                <w:szCs w:val="12"/>
                <w:lang w:val="en-CA" w:eastAsia="en-CA"/>
                <w14:textFill>
                  <w14:solidFill>
                    <w14:srgbClr w14:val="F79646">
                      <w14:lumMod w14:val="50000"/>
                    </w14:srgbClr>
                  </w14:solidFill>
                </w14:textFill>
              </w:rPr>
              <w:t>Policy and operational improvements and innovations</w:t>
            </w:r>
          </w:p>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8"/>
                <w:szCs w:val="8"/>
                <w:lang w:val="en-CA" w:eastAsia="en-CA"/>
                <w14:textFill>
                  <w14:solidFill>
                    <w14:srgbClr w14:val="F79646">
                      <w14:lumMod w14:val="50000"/>
                    </w14:srgbClr>
                  </w14:solidFill>
                </w14:textFill>
              </w:rPr>
              <w:t xml:space="preserve"> </w:t>
            </w:r>
            <w:r w:rsidRPr="007A7A74">
              <w:rPr>
                <w:rFonts w:ascii="Calibri" w:eastAsia="Calibri" w:hAnsi="Calibri" w:cs="Calibri"/>
                <w:color w:val="F79646"/>
                <w:sz w:val="12"/>
                <w:szCs w:val="12"/>
                <w:lang w:val="en-CA" w:eastAsia="en-CA"/>
                <w14:textFill>
                  <w14:solidFill>
                    <w14:srgbClr w14:val="F79646">
                      <w14:lumMod w14:val="50000"/>
                    </w14:srgbClr>
                  </w14:solidFill>
                </w14:textFill>
              </w:rPr>
              <w:t>Policy development &amp; design products (e.g. MCs, TB Subs)</w:t>
            </w:r>
          </w:p>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8"/>
                <w:szCs w:val="8"/>
                <w:lang w:val="en-CA" w:eastAsia="en-CA"/>
                <w14:textFill>
                  <w14:solidFill>
                    <w14:srgbClr w14:val="F79646">
                      <w14:lumMod w14:val="50000"/>
                    </w14:srgbClr>
                  </w14:solidFill>
                </w14:textFill>
              </w:rPr>
              <w:t xml:space="preserve"> </w:t>
            </w:r>
            <w:r w:rsidRPr="007A7A74">
              <w:rPr>
                <w:rFonts w:ascii="Calibri" w:eastAsia="Calibri" w:hAnsi="Calibri" w:cs="Calibri"/>
                <w:color w:val="F79646"/>
                <w:sz w:val="12"/>
                <w:szCs w:val="12"/>
                <w:lang w:val="en-CA" w:eastAsia="en-CA"/>
                <w14:textFill>
                  <w14:solidFill>
                    <w14:srgbClr w14:val="F79646">
                      <w14:lumMod w14:val="50000"/>
                    </w14:srgbClr>
                  </w14:solidFill>
                </w14:textFill>
              </w:rPr>
              <w:t>Open reporting</w:t>
            </w:r>
          </w:p>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8"/>
                <w:szCs w:val="8"/>
                <w:lang w:val="en-CA" w:eastAsia="en-CA"/>
                <w14:textFill>
                  <w14:solidFill>
                    <w14:srgbClr w14:val="F79646">
                      <w14:lumMod w14:val="50000"/>
                    </w14:srgbClr>
                  </w14:solidFill>
                </w14:textFill>
              </w:rPr>
              <w:t xml:space="preserve"> </w:t>
            </w:r>
            <w:r w:rsidRPr="007A7A74">
              <w:rPr>
                <w:rFonts w:ascii="Calibri" w:eastAsia="Calibri" w:hAnsi="Calibri" w:cs="Calibri"/>
                <w:color w:val="F79646"/>
                <w:sz w:val="12"/>
                <w:szCs w:val="12"/>
                <w:lang w:val="en-CA" w:eastAsia="en-CA"/>
                <w14:textFill>
                  <w14:solidFill>
                    <w14:srgbClr w14:val="F79646">
                      <w14:lumMod w14:val="50000"/>
                    </w14:srgbClr>
                  </w14:solidFill>
                </w14:textFill>
              </w:rPr>
              <w:t>Knowledge sharing &amp; products</w:t>
            </w:r>
          </w:p>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8"/>
                <w:szCs w:val="8"/>
                <w:lang w:val="en-CA" w:eastAsia="en-CA"/>
                <w14:textFill>
                  <w14:solidFill>
                    <w14:srgbClr w14:val="F79646">
                      <w14:lumMod w14:val="50000"/>
                    </w14:srgbClr>
                  </w14:solidFill>
                </w14:textFill>
              </w:rPr>
              <w:t xml:space="preserve"> </w:t>
            </w:r>
            <w:r w:rsidRPr="007A7A74">
              <w:rPr>
                <w:rFonts w:ascii="Calibri" w:eastAsia="Calibri" w:hAnsi="Calibri" w:cs="Calibri"/>
                <w:color w:val="F79646"/>
                <w:sz w:val="12"/>
                <w:szCs w:val="12"/>
                <w:lang w:val="en-CA" w:eastAsia="en-CA"/>
                <w14:textFill>
                  <w14:solidFill>
                    <w14:srgbClr w14:val="F79646">
                      <w14:lumMod w14:val="50000"/>
                    </w14:srgbClr>
                  </w14:solidFill>
                </w14:textFill>
              </w:rPr>
              <w:t>Stakeholder engagement</w:t>
            </w:r>
          </w:p>
        </w:tc>
        <w:tc>
          <w:tcPr>
            <w:tcW w:w="614" w:type="pct"/>
          </w:tcPr>
          <w:p w:rsidR="008E3990" w:rsidRPr="007A7A74" w:rsidRDefault="008E3990" w:rsidP="00AE1ABC">
            <w:pPr>
              <w:widowControl w:val="0"/>
              <w:spacing w:after="0" w:line="240" w:lineRule="auto"/>
              <w:contextualSpacing/>
              <w:rPr>
                <w:rFonts w:ascii="Calibri" w:eastAsia="Calibri" w:hAnsi="Calibri" w:cs="Calibri"/>
                <w:color w:val="F79646"/>
                <w:sz w:val="12"/>
                <w:szCs w:val="12"/>
                <w:lang w:val="en-CA" w:eastAsia="en-CA"/>
                <w14:textFill>
                  <w14:solidFill>
                    <w14:srgbClr w14:val="F79646">
                      <w14:lumMod w14:val="50000"/>
                    </w14:srgbClr>
                  </w14:solidFill>
                </w14:textFill>
              </w:rPr>
            </w:pPr>
            <w:r w:rsidRPr="007A7A74">
              <w:rPr>
                <w:rFonts w:ascii="Calibri" w:eastAsia="Calibri" w:hAnsi="Calibri" w:cs="Calibri"/>
                <w:color w:val="F79646"/>
                <w:sz w:val="8"/>
                <w:szCs w:val="8"/>
                <w:lang w:val="en-CA" w:eastAsia="en-CA"/>
                <w14:textFill>
                  <w14:solidFill>
                    <w14:srgbClr w14:val="F79646">
                      <w14:lumMod w14:val="50000"/>
                    </w14:srgbClr>
                  </w14:solidFill>
                </w14:textFill>
              </w:rPr>
              <w:sym w:font="Wingdings" w:char="F06C"/>
            </w:r>
            <w:r w:rsidRPr="007A7A74">
              <w:rPr>
                <w:rFonts w:ascii="Calibri" w:eastAsia="Calibri" w:hAnsi="Calibri" w:cs="Calibri"/>
                <w:color w:val="F79646"/>
                <w:sz w:val="8"/>
                <w:szCs w:val="8"/>
                <w:lang w:val="en-CA" w:eastAsia="en-CA"/>
                <w14:textFill>
                  <w14:solidFill>
                    <w14:srgbClr w14:val="F79646">
                      <w14:lumMod w14:val="50000"/>
                    </w14:srgbClr>
                  </w14:solidFill>
                </w14:textFill>
              </w:rPr>
              <w:t xml:space="preserve"> </w:t>
            </w:r>
            <w:r w:rsidRPr="007A7A74">
              <w:rPr>
                <w:rFonts w:ascii="Calibri" w:eastAsia="Calibri" w:hAnsi="Calibri" w:cs="Calibri"/>
                <w:color w:val="F79646"/>
                <w:sz w:val="12"/>
                <w:szCs w:val="12"/>
                <w:lang w:val="en-CA" w:eastAsia="en-CA"/>
                <w14:textFill>
                  <w14:solidFill>
                    <w14:srgbClr w14:val="F79646">
                      <w14:lumMod w14:val="50000"/>
                    </w14:srgbClr>
                  </w14:solidFill>
                </w14:textFill>
              </w:rPr>
              <w:t>...</w:t>
            </w:r>
          </w:p>
        </w:tc>
      </w:tr>
      <w:tr w:rsidR="008E3990" w:rsidRPr="007A7A74" w:rsidTr="005B647C">
        <w:tc>
          <w:tcPr>
            <w:tcW w:w="460" w:type="pct"/>
            <w:vMerge/>
            <w:shd w:val="clear" w:color="auto" w:fill="BFBFBF"/>
            <w:vAlign w:val="center"/>
          </w:tcPr>
          <w:p w:rsidR="008E3990" w:rsidRPr="007A7A74" w:rsidRDefault="008E3990" w:rsidP="00AE1ABC">
            <w:pPr>
              <w:widowControl w:val="0"/>
              <w:spacing w:after="0" w:line="240" w:lineRule="auto"/>
              <w:rPr>
                <w:rFonts w:ascii="Calibri" w:eastAsia="Calibri" w:hAnsi="Calibri" w:cs="Calibri"/>
                <w:color w:val="000000"/>
                <w:sz w:val="16"/>
                <w:szCs w:val="16"/>
                <w:lang w:val="en-CA" w:eastAsia="en-CA"/>
              </w:rPr>
            </w:pPr>
          </w:p>
        </w:tc>
        <w:tc>
          <w:tcPr>
            <w:tcW w:w="552" w:type="pct"/>
            <w:vAlign w:val="center"/>
          </w:tcPr>
          <w:p w:rsidR="008E3990" w:rsidRPr="007A7A74" w:rsidRDefault="008E3990" w:rsidP="00AE1ABC">
            <w:pPr>
              <w:widowControl w:val="0"/>
              <w:spacing w:after="0" w:line="240" w:lineRule="auto"/>
              <w:jc w:val="center"/>
              <w:rPr>
                <w:rFonts w:ascii="Calibri" w:eastAsia="Calibri" w:hAnsi="Calibri" w:cs="Calibri"/>
                <w:b/>
                <w:color w:val="000000"/>
                <w:sz w:val="16"/>
                <w:szCs w:val="16"/>
                <w:lang w:val="en-CA" w:eastAsia="en-CA"/>
              </w:rPr>
            </w:pPr>
            <w:r w:rsidRPr="007A7A74">
              <w:rPr>
                <w:rFonts w:ascii="Calibri" w:eastAsia="Calibri" w:hAnsi="Calibri" w:cs="Calibri"/>
                <w:b/>
                <w:color w:val="000000"/>
                <w:sz w:val="16"/>
                <w:szCs w:val="16"/>
                <w:lang w:val="en-CA" w:eastAsia="en-CA"/>
              </w:rPr>
              <w:t>Inputs / resources</w:t>
            </w:r>
          </w:p>
          <w:p w:rsidR="008E3990" w:rsidRPr="007A7A74" w:rsidRDefault="008E3990" w:rsidP="00AE1ABC">
            <w:pPr>
              <w:widowControl w:val="0"/>
              <w:spacing w:after="0" w:line="240" w:lineRule="auto"/>
              <w:jc w:val="center"/>
              <w:rPr>
                <w:rFonts w:ascii="Calibri" w:eastAsia="Arial" w:hAnsi="Calibri" w:cs="Arial"/>
                <w:color w:val="000000"/>
                <w:sz w:val="12"/>
                <w:szCs w:val="12"/>
                <w:lang w:val="en-CA" w:eastAsia="en-CA"/>
              </w:rPr>
            </w:pPr>
            <w:r w:rsidRPr="007A7A74">
              <w:rPr>
                <w:rFonts w:ascii="Calibri" w:eastAsia="Arial" w:hAnsi="Calibri" w:cs="Arial"/>
                <w:i/>
                <w:color w:val="000000"/>
                <w:sz w:val="12"/>
                <w:szCs w:val="12"/>
                <w:lang w:val="en-CA" w:eastAsia="en-CA"/>
              </w:rPr>
              <w:t xml:space="preserve">Resources used: dollars </w:t>
            </w:r>
          </w:p>
          <w:p w:rsidR="008E3990" w:rsidRPr="007A7A74" w:rsidRDefault="008E3990" w:rsidP="00AE1ABC">
            <w:pPr>
              <w:widowControl w:val="0"/>
              <w:spacing w:after="0" w:line="240" w:lineRule="auto"/>
              <w:jc w:val="center"/>
              <w:rPr>
                <w:rFonts w:ascii="Calibri" w:eastAsia="Calibri" w:hAnsi="Calibri" w:cs="Calibri"/>
                <w:b/>
                <w:color w:val="000000"/>
                <w:sz w:val="20"/>
                <w:szCs w:val="20"/>
                <w:lang w:val="en-CA" w:eastAsia="en-CA"/>
              </w:rPr>
            </w:pPr>
            <w:r w:rsidRPr="007A7A74">
              <w:rPr>
                <w:rFonts w:ascii="Calibri" w:eastAsia="Arial" w:hAnsi="Calibri" w:cs="Arial"/>
                <w:i/>
                <w:color w:val="000000"/>
                <w:sz w:val="12"/>
                <w:szCs w:val="12"/>
                <w:lang w:val="en-CA" w:eastAsia="en-CA"/>
              </w:rPr>
              <w:t>spent, number and types of staff involved, dedicated time.</w:t>
            </w:r>
          </w:p>
        </w:tc>
        <w:tc>
          <w:tcPr>
            <w:tcW w:w="640" w:type="pct"/>
          </w:tcPr>
          <w:p w:rsidR="008E3990" w:rsidRPr="007A7A74" w:rsidRDefault="008E3990" w:rsidP="00AE1ABC">
            <w:pPr>
              <w:widowControl w:val="0"/>
              <w:spacing w:after="0" w:line="240" w:lineRule="auto"/>
              <w:rPr>
                <w:rFonts w:ascii="Calibri" w:eastAsia="Calibri" w:hAnsi="Calibri" w:cs="Calibri"/>
                <w:color w:val="000000"/>
                <w:sz w:val="12"/>
                <w:szCs w:val="12"/>
                <w:lang w:val="en-CA" w:eastAsia="en-CA"/>
              </w:rPr>
            </w:pPr>
          </w:p>
        </w:tc>
        <w:tc>
          <w:tcPr>
            <w:tcW w:w="511" w:type="pct"/>
            <w:shd w:val="clear" w:color="auto" w:fill="F2F2F2"/>
          </w:tcPr>
          <w:p w:rsidR="008E3990" w:rsidRPr="007A7A74" w:rsidRDefault="008E3990" w:rsidP="00AE1ABC">
            <w:pPr>
              <w:widowControl w:val="0"/>
              <w:numPr>
                <w:ilvl w:val="0"/>
                <w:numId w:val="17"/>
              </w:numPr>
              <w:spacing w:after="0" w:line="240" w:lineRule="auto"/>
              <w:contextualSpacing/>
              <w:jc w:val="both"/>
              <w:rPr>
                <w:rFonts w:ascii="Calibri" w:eastAsia="Calibri" w:hAnsi="Calibri" w:cs="Calibri"/>
                <w:color w:val="9BBB59"/>
                <w:sz w:val="12"/>
                <w:szCs w:val="12"/>
                <w:lang w:val="en-CA" w:eastAsia="en-CA"/>
                <w14:textFill>
                  <w14:solidFill>
                    <w14:srgbClr w14:val="9BBB59">
                      <w14:lumMod w14:val="75000"/>
                    </w14:srgbClr>
                  </w14:solidFill>
                </w14:textFill>
              </w:rPr>
            </w:pPr>
          </w:p>
        </w:tc>
        <w:tc>
          <w:tcPr>
            <w:tcW w:w="614" w:type="pct"/>
          </w:tcPr>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4 FTEs + partners</w:t>
            </w:r>
          </w:p>
          <w:p w:rsidR="008E3990" w:rsidRPr="007A7A74" w:rsidRDefault="008E3990" w:rsidP="00AE1ABC">
            <w:pPr>
              <w:widowControl w:val="0"/>
              <w:spacing w:after="0" w:line="240" w:lineRule="auto"/>
              <w:contextualSpacing/>
              <w:jc w:val="both"/>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600K O&amp;M</w:t>
            </w:r>
          </w:p>
          <w:p w:rsidR="008E3990" w:rsidRPr="007A7A74" w:rsidRDefault="008E3990" w:rsidP="00AE1ABC">
            <w:pPr>
              <w:widowControl w:val="0"/>
              <w:spacing w:after="0" w:line="240" w:lineRule="auto"/>
              <w:contextualSpacing/>
              <w:jc w:val="both"/>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245K CA</w:t>
            </w:r>
          </w:p>
        </w:tc>
        <w:tc>
          <w:tcPr>
            <w:tcW w:w="495" w:type="pct"/>
            <w:shd w:val="clear" w:color="auto" w:fill="F2F2F2"/>
          </w:tcPr>
          <w:p w:rsidR="008E3990" w:rsidRPr="007A7A74" w:rsidRDefault="008E3990" w:rsidP="00AE1ABC">
            <w:pPr>
              <w:widowControl w:val="0"/>
              <w:numPr>
                <w:ilvl w:val="0"/>
                <w:numId w:val="16"/>
              </w:numPr>
              <w:spacing w:after="0" w:line="240" w:lineRule="auto"/>
              <w:contextualSpacing/>
              <w:jc w:val="both"/>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12"/>
                <w:szCs w:val="12"/>
                <w:lang w:val="en-CA" w:eastAsia="en-CA"/>
                <w14:textFill>
                  <w14:solidFill>
                    <w14:srgbClr w14:val="9BBB59">
                      <w14:lumMod w14:val="75000"/>
                    </w14:srgbClr>
                  </w14:solidFill>
                </w14:textFill>
              </w:rPr>
              <w:t xml:space="preserve"> </w:t>
            </w:r>
          </w:p>
        </w:tc>
        <w:tc>
          <w:tcPr>
            <w:tcW w:w="615" w:type="pct"/>
          </w:tcPr>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4 FTEs + partners</w:t>
            </w:r>
          </w:p>
          <w:p w:rsidR="008E3990" w:rsidRPr="007A7A74" w:rsidRDefault="008E3990" w:rsidP="00AE1ABC">
            <w:pPr>
              <w:widowControl w:val="0"/>
              <w:spacing w:after="0" w:line="240" w:lineRule="auto"/>
              <w:contextualSpacing/>
              <w:jc w:val="both"/>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600K O&amp;M</w:t>
            </w:r>
          </w:p>
          <w:p w:rsidR="008E3990" w:rsidRPr="007A7A74" w:rsidRDefault="008E3990" w:rsidP="00AE1ABC">
            <w:pPr>
              <w:widowControl w:val="0"/>
              <w:spacing w:after="0" w:line="240" w:lineRule="auto"/>
              <w:contextualSpacing/>
              <w:jc w:val="both"/>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245K CA</w:t>
            </w:r>
          </w:p>
        </w:tc>
        <w:tc>
          <w:tcPr>
            <w:tcW w:w="499" w:type="pct"/>
            <w:shd w:val="clear" w:color="auto" w:fill="F2F2F2"/>
          </w:tcPr>
          <w:p w:rsidR="008E3990" w:rsidRPr="007A7A74" w:rsidRDefault="008E3990" w:rsidP="00AE1ABC">
            <w:pPr>
              <w:widowControl w:val="0"/>
              <w:numPr>
                <w:ilvl w:val="0"/>
                <w:numId w:val="16"/>
              </w:numPr>
              <w:spacing w:after="0" w:line="240" w:lineRule="auto"/>
              <w:contextualSpacing/>
              <w:jc w:val="both"/>
              <w:rPr>
                <w:rFonts w:ascii="Calibri" w:eastAsia="Calibri" w:hAnsi="Calibri" w:cs="Calibri"/>
                <w:color w:val="9BBB59"/>
                <w:sz w:val="12"/>
                <w:szCs w:val="12"/>
                <w:lang w:val="en-CA" w:eastAsia="en-CA"/>
                <w14:textFill>
                  <w14:solidFill>
                    <w14:srgbClr w14:val="9BBB59">
                      <w14:lumMod w14:val="75000"/>
                    </w14:srgbClr>
                  </w14:solidFill>
                </w14:textFill>
              </w:rPr>
            </w:pPr>
          </w:p>
        </w:tc>
        <w:tc>
          <w:tcPr>
            <w:tcW w:w="614" w:type="pct"/>
          </w:tcPr>
          <w:p w:rsidR="008E3990" w:rsidRPr="007A7A74" w:rsidRDefault="008E3990" w:rsidP="00AE1ABC">
            <w:pPr>
              <w:widowControl w:val="0"/>
              <w:spacing w:after="0" w:line="240" w:lineRule="auto"/>
              <w:contextualSpacing/>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4 FTEs + partners</w:t>
            </w:r>
          </w:p>
          <w:p w:rsidR="008E3990" w:rsidRPr="007A7A74" w:rsidRDefault="008E3990" w:rsidP="00AE1ABC">
            <w:pPr>
              <w:widowControl w:val="0"/>
              <w:spacing w:after="0" w:line="240" w:lineRule="auto"/>
              <w:contextualSpacing/>
              <w:jc w:val="both"/>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600K O&amp;M</w:t>
            </w:r>
          </w:p>
          <w:p w:rsidR="008E3990" w:rsidRPr="007A7A74" w:rsidRDefault="008E3990" w:rsidP="00AE1ABC">
            <w:pPr>
              <w:widowControl w:val="0"/>
              <w:spacing w:after="0" w:line="240" w:lineRule="auto"/>
              <w:contextualSpacing/>
              <w:jc w:val="both"/>
              <w:rPr>
                <w:rFonts w:ascii="Calibri" w:eastAsia="Calibri" w:hAnsi="Calibri" w:cs="Calibri"/>
                <w:color w:val="9BBB59"/>
                <w:sz w:val="12"/>
                <w:szCs w:val="12"/>
                <w:lang w:val="en-CA" w:eastAsia="en-CA"/>
                <w14:textFill>
                  <w14:solidFill>
                    <w14:srgbClr w14:val="9BBB59">
                      <w14:lumMod w14:val="75000"/>
                    </w14:srgbClr>
                  </w14:solidFill>
                </w14:textFill>
              </w:rPr>
            </w:pPr>
            <w:r w:rsidRPr="007A7A74">
              <w:rPr>
                <w:rFonts w:ascii="Calibri" w:eastAsia="Calibri" w:hAnsi="Calibri" w:cs="Calibri"/>
                <w:color w:val="9BBB59"/>
                <w:sz w:val="8"/>
                <w:szCs w:val="8"/>
                <w:lang w:val="en-CA" w:eastAsia="en-CA"/>
                <w14:textFill>
                  <w14:solidFill>
                    <w14:srgbClr w14:val="9BBB59">
                      <w14:lumMod w14:val="75000"/>
                    </w14:srgbClr>
                  </w14:solidFill>
                </w14:textFill>
              </w:rPr>
              <w:sym w:font="Wingdings" w:char="F06C"/>
            </w:r>
            <w:r w:rsidRPr="007A7A74">
              <w:rPr>
                <w:rFonts w:ascii="Calibri" w:eastAsia="Calibri" w:hAnsi="Calibri" w:cs="Calibri"/>
                <w:color w:val="9BBB59"/>
                <w:sz w:val="8"/>
                <w:szCs w:val="8"/>
                <w:lang w:val="en-CA" w:eastAsia="en-CA"/>
                <w14:textFill>
                  <w14:solidFill>
                    <w14:srgbClr w14:val="9BBB59">
                      <w14:lumMod w14:val="75000"/>
                    </w14:srgbClr>
                  </w14:solidFill>
                </w14:textFill>
              </w:rPr>
              <w:t xml:space="preserve"> </w:t>
            </w:r>
            <w:r w:rsidRPr="007A7A74">
              <w:rPr>
                <w:rFonts w:ascii="Calibri" w:eastAsia="Calibri" w:hAnsi="Calibri" w:cs="Calibri"/>
                <w:color w:val="9BBB59"/>
                <w:sz w:val="12"/>
                <w:szCs w:val="12"/>
                <w:lang w:val="en-CA" w:eastAsia="en-CA"/>
                <w14:textFill>
                  <w14:solidFill>
                    <w14:srgbClr w14:val="9BBB59">
                      <w14:lumMod w14:val="75000"/>
                    </w14:srgbClr>
                  </w14:solidFill>
                </w14:textFill>
              </w:rPr>
              <w:t>245K CA</w:t>
            </w:r>
          </w:p>
        </w:tc>
      </w:tr>
    </w:tbl>
    <w:p w:rsidR="008E3990" w:rsidRDefault="008E3990" w:rsidP="00CE08D2">
      <w:pPr>
        <w:rPr>
          <w:rFonts w:eastAsia="Calibri" w:cstheme="minorHAnsi"/>
        </w:rPr>
      </w:pPr>
    </w:p>
    <w:p w:rsidR="00450D67" w:rsidRDefault="00450D67" w:rsidP="00450D67">
      <w:pPr>
        <w:rPr>
          <w:rFonts w:eastAsia="Times New Roman"/>
          <w:szCs w:val="24"/>
        </w:rPr>
      </w:pPr>
      <w:r w:rsidRPr="00D35281">
        <w:rPr>
          <w:rFonts w:eastAsia="Times New Roman"/>
          <w:szCs w:val="24"/>
        </w:rPr>
        <w:t xml:space="preserve">Note that in addition to monitoring the indicators suggested here (often through specific projects – see </w:t>
      </w:r>
      <w:r w:rsidRPr="00D35281">
        <w:rPr>
          <w:rFonts w:eastAsia="Times New Roman"/>
          <w:b/>
          <w:szCs w:val="24"/>
        </w:rPr>
        <w:t xml:space="preserve">Annex A.3 Case Studies and Annex B </w:t>
      </w:r>
      <w:r w:rsidRPr="00AE1ABC">
        <w:rPr>
          <w:rFonts w:eastAsia="Times New Roman"/>
          <w:b/>
          <w:szCs w:val="24"/>
        </w:rPr>
        <w:t>Using a Results Chain for Planning Monitoring and Evaluation</w:t>
      </w:r>
      <w:r w:rsidRPr="00D35281">
        <w:rPr>
          <w:rFonts w:eastAsia="Times New Roman"/>
          <w:szCs w:val="24"/>
        </w:rPr>
        <w:t>) the program should engage in periodic evaluation.</w:t>
      </w:r>
    </w:p>
    <w:p w:rsidR="008E3990" w:rsidRPr="00D35281" w:rsidRDefault="008E3990" w:rsidP="00450D67">
      <w:pPr>
        <w:rPr>
          <w:rFonts w:eastAsia="Times New Roman"/>
          <w:szCs w:val="24"/>
        </w:rPr>
      </w:pPr>
    </w:p>
    <w:p w:rsidR="00F7196A" w:rsidRPr="00F7196A" w:rsidRDefault="00F7196A" w:rsidP="00450D67">
      <w:pPr>
        <w:rPr>
          <w:rFonts w:asciiTheme="majorHAnsi" w:hAnsiTheme="majorHAnsi"/>
          <w:sz w:val="24"/>
          <w:szCs w:val="24"/>
        </w:rPr>
      </w:pPr>
      <w:r w:rsidRPr="00F7196A">
        <w:rPr>
          <w:rFonts w:asciiTheme="majorHAnsi" w:hAnsiTheme="majorHAnsi"/>
          <w:sz w:val="24"/>
          <w:szCs w:val="24"/>
        </w:rPr>
        <w:t>4.8 THE EVALUATION APPROACH</w:t>
      </w:r>
    </w:p>
    <w:p w:rsidR="00450D67" w:rsidRPr="00D35281" w:rsidRDefault="00450D67" w:rsidP="00450D67">
      <w:r w:rsidRPr="00D35281">
        <w:t xml:space="preserve">The evaluation will draw on the program theories described in section 3.7 and assume a result planning approach as per </w:t>
      </w:r>
      <w:r w:rsidRPr="00D35281">
        <w:rPr>
          <w:b/>
        </w:rPr>
        <w:t>Annex B</w:t>
      </w:r>
      <w:r w:rsidRPr="00D35281">
        <w:t xml:space="preserve">. The evaluation will be limited to those activities where a direct cause-effect relationship can be established – primarily immediate and intermediate outcomes – and longer term impacts (e.g. economies and efficiencies achieved) as feasible given the limited time frame. </w:t>
      </w:r>
    </w:p>
    <w:p w:rsidR="00450D67" w:rsidRPr="00450D67" w:rsidRDefault="00450D67" w:rsidP="00450D67">
      <w:r w:rsidRPr="00D35281">
        <w:t xml:space="preserve">In summary, the results chain logic (logic model) likely rendered as a results plan (see </w:t>
      </w:r>
      <w:r w:rsidRPr="00D35281">
        <w:rPr>
          <w:b/>
        </w:rPr>
        <w:t>Annex B</w:t>
      </w:r>
      <w:r w:rsidRPr="00D35281">
        <w:t xml:space="preserve">) and the performance measurement framework will be used to inform the evaluation in terms of the key issues related to the relevance and performance of the performance logic of its key elements and the performance measures and data generated from its delivery. </w:t>
      </w:r>
    </w:p>
    <w:p w:rsidR="00450D67" w:rsidRPr="00D35281" w:rsidRDefault="00450D67" w:rsidP="00450D67">
      <w:pPr>
        <w:rPr>
          <w:rFonts w:eastAsia="Calibri" w:cs="Arial"/>
        </w:rPr>
      </w:pPr>
      <w:r w:rsidRPr="00D35281">
        <w:rPr>
          <w:rFonts w:eastAsia="Calibri" w:cs="Arial"/>
        </w:rPr>
        <w:lastRenderedPageBreak/>
        <w:t>The evaluation will provide an integrated evidence-based, neutral assessment to support accountability; support managing for results; and support policy and program improvements by identifying and sharing good practices. With this in mind, the evaluation will examine elements of impact as available, but will mainly focus on key elements of how to address needs, who is being served, how it is being implemented, where it seems to operate more or less successfully and where the SIU and its projects could be improved.</w:t>
      </w:r>
    </w:p>
    <w:p w:rsidR="00450D67" w:rsidRPr="00D35281" w:rsidRDefault="00450D67" w:rsidP="00450D67">
      <w:pPr>
        <w:rPr>
          <w:rFonts w:eastAsia="Calibri" w:cs="Arial"/>
        </w:rPr>
      </w:pPr>
      <w:r w:rsidRPr="00D35281">
        <w:rPr>
          <w:rFonts w:eastAsia="Calibri" w:cs="Arial"/>
        </w:rPr>
        <w:t>The evaluation will use both primary and secondary data collection in order to compile its evidence base, drawing on information already collected as much as validly feasible.  An evaluation plan will be developed prior to the evaluation to better define the data collection techniques to be used; the evaluation questions outlined below will serve as the basis for the evaluation planning but may need to be adjusted in light of an assessment of the availability of the performance information, the departmental evaluation resources available for the evaluation, specific information needs of management, and other considerations.</w:t>
      </w:r>
    </w:p>
    <w:p w:rsidR="00450D67" w:rsidRPr="00D35281" w:rsidRDefault="00450D67" w:rsidP="00450D67">
      <w:pPr>
        <w:rPr>
          <w:rFonts w:eastAsia="Calibri" w:cs="Arial"/>
        </w:rPr>
      </w:pPr>
      <w:r w:rsidRPr="00D35281">
        <w:rPr>
          <w:rFonts w:eastAsia="Calibri" w:cs="Arial"/>
        </w:rPr>
        <w:t>The proposed guiding issues for the evaluation are as follows:</w:t>
      </w:r>
    </w:p>
    <w:p w:rsidR="00450D67" w:rsidRPr="00450D67" w:rsidRDefault="00450D67" w:rsidP="00450D67">
      <w:pPr>
        <w:rPr>
          <w:rFonts w:eastAsia="Calibri" w:cs="Arial"/>
          <w:b/>
        </w:rPr>
      </w:pPr>
      <w:r w:rsidRPr="00D35281">
        <w:rPr>
          <w:rFonts w:eastAsia="Calibri" w:cs="Arial"/>
          <w:b/>
        </w:rPr>
        <w:t>Relevance</w:t>
      </w:r>
    </w:p>
    <w:p w:rsidR="00450D67" w:rsidRPr="00D35281" w:rsidRDefault="00450D67" w:rsidP="00450D67">
      <w:pPr>
        <w:pStyle w:val="ListParagraph"/>
        <w:numPr>
          <w:ilvl w:val="0"/>
          <w:numId w:val="13"/>
        </w:numPr>
        <w:spacing w:after="0" w:line="240" w:lineRule="auto"/>
        <w:rPr>
          <w:rFonts w:eastAsia="Calibri" w:cs="Arial"/>
        </w:rPr>
      </w:pPr>
      <w:r w:rsidRPr="00D35281">
        <w:rPr>
          <w:rFonts w:eastAsia="Calibri" w:cs="Arial"/>
        </w:rPr>
        <w:t xml:space="preserve">To what extent did projects address a demonstrable need? </w:t>
      </w:r>
    </w:p>
    <w:p w:rsidR="00450D67" w:rsidRPr="00D35281" w:rsidRDefault="00450D67" w:rsidP="00450D67">
      <w:pPr>
        <w:pStyle w:val="ListParagraph"/>
        <w:ind w:left="792"/>
        <w:rPr>
          <w:rFonts w:eastAsia="Calibri" w:cs="Arial"/>
        </w:rPr>
      </w:pPr>
    </w:p>
    <w:p w:rsidR="00450D67" w:rsidRDefault="00450D67" w:rsidP="00450D67">
      <w:pPr>
        <w:pStyle w:val="ListParagraph"/>
        <w:numPr>
          <w:ilvl w:val="0"/>
          <w:numId w:val="13"/>
        </w:numPr>
        <w:spacing w:after="0" w:line="240" w:lineRule="auto"/>
        <w:rPr>
          <w:rFonts w:eastAsia="Calibri" w:cs="Arial"/>
        </w:rPr>
      </w:pPr>
      <w:r w:rsidRPr="00D35281">
        <w:rPr>
          <w:rFonts w:eastAsia="Calibri" w:cs="Arial"/>
        </w:rPr>
        <w:t>To what extent did projects align with the roles and responsibili</w:t>
      </w:r>
      <w:r>
        <w:rPr>
          <w:rFonts w:eastAsia="Calibri" w:cs="Arial"/>
        </w:rPr>
        <w:t>ties of the federal government?</w:t>
      </w:r>
    </w:p>
    <w:p w:rsidR="00450D67" w:rsidRPr="00450D67" w:rsidRDefault="00450D67" w:rsidP="00450D67">
      <w:pPr>
        <w:pStyle w:val="ListParagraph"/>
        <w:spacing w:after="0" w:line="240" w:lineRule="auto"/>
        <w:ind w:left="360"/>
        <w:rPr>
          <w:rFonts w:eastAsia="Calibri" w:cs="Arial"/>
        </w:rPr>
      </w:pPr>
    </w:p>
    <w:p w:rsidR="00450D67" w:rsidRPr="00D35281" w:rsidRDefault="00450D67" w:rsidP="00450D67">
      <w:pPr>
        <w:keepNext/>
        <w:rPr>
          <w:rFonts w:eastAsia="Calibri" w:cs="Arial"/>
          <w:b/>
        </w:rPr>
      </w:pPr>
      <w:r w:rsidRPr="00D35281">
        <w:rPr>
          <w:rFonts w:eastAsia="Calibri" w:cs="Arial"/>
          <w:b/>
        </w:rPr>
        <w:t>Performance: Achievement of Expected Outcomes</w:t>
      </w:r>
    </w:p>
    <w:p w:rsidR="00450D67" w:rsidRPr="00450D67" w:rsidRDefault="00450D67" w:rsidP="00450D67">
      <w:pPr>
        <w:pStyle w:val="ListParagraph"/>
        <w:keepNext/>
        <w:numPr>
          <w:ilvl w:val="0"/>
          <w:numId w:val="13"/>
        </w:numPr>
        <w:spacing w:after="0" w:line="240" w:lineRule="auto"/>
        <w:rPr>
          <w:rFonts w:eastAsia="Calibri" w:cs="Arial"/>
          <w:b/>
        </w:rPr>
      </w:pPr>
      <w:r w:rsidRPr="00D35281">
        <w:rPr>
          <w:rFonts w:eastAsia="Calibri" w:cs="Arial"/>
        </w:rPr>
        <w:t>What have been the early results of the SIU in terms of what has worked (to what extent) for w</w:t>
      </w:r>
      <w:r>
        <w:rPr>
          <w:rFonts w:eastAsia="Calibri" w:cs="Arial"/>
        </w:rPr>
        <w:t>hom in what conditions and why?</w:t>
      </w:r>
    </w:p>
    <w:p w:rsidR="00450D67" w:rsidRPr="00D35281" w:rsidRDefault="00450D67" w:rsidP="00450D67">
      <w:pPr>
        <w:pStyle w:val="ListParagraph"/>
        <w:keepNext/>
        <w:spacing w:after="0" w:line="240" w:lineRule="auto"/>
        <w:ind w:left="360"/>
        <w:rPr>
          <w:rFonts w:eastAsia="Calibri" w:cs="Arial"/>
          <w:b/>
        </w:rPr>
      </w:pPr>
    </w:p>
    <w:p w:rsidR="00450D67" w:rsidRPr="00D35281" w:rsidRDefault="00450D67" w:rsidP="00450D67">
      <w:pPr>
        <w:pStyle w:val="ListParagraph"/>
        <w:keepNext/>
        <w:numPr>
          <w:ilvl w:val="1"/>
          <w:numId w:val="13"/>
        </w:numPr>
        <w:spacing w:after="0" w:line="240" w:lineRule="auto"/>
        <w:rPr>
          <w:rFonts w:eastAsia="Calibri" w:cs="Arial"/>
          <w:b/>
        </w:rPr>
      </w:pPr>
      <w:r w:rsidRPr="00D35281">
        <w:rPr>
          <w:rFonts w:eastAsia="Calibri" w:cs="Arial"/>
        </w:rPr>
        <w:t xml:space="preserve">Have there been unintended effects – including elements which create positive or negative reinforcements to various implementation features or results? </w:t>
      </w:r>
    </w:p>
    <w:p w:rsidR="00450D67" w:rsidRPr="00D35281" w:rsidRDefault="00450D67" w:rsidP="00450D67">
      <w:pPr>
        <w:pStyle w:val="ListParagraph"/>
        <w:keepNext/>
        <w:numPr>
          <w:ilvl w:val="1"/>
          <w:numId w:val="13"/>
        </w:numPr>
        <w:spacing w:after="0" w:line="240" w:lineRule="auto"/>
        <w:rPr>
          <w:rFonts w:eastAsia="Calibri" w:cs="Arial"/>
          <w:b/>
        </w:rPr>
      </w:pPr>
      <w:r w:rsidRPr="00D35281">
        <w:rPr>
          <w:rFonts w:eastAsia="Calibri" w:cs="Arial"/>
        </w:rPr>
        <w:t xml:space="preserve">What factors have influenced results (positively or negatively) and in what patterns, areas and surrounding conditions? </w:t>
      </w:r>
    </w:p>
    <w:p w:rsidR="00450D67" w:rsidRPr="00D35281" w:rsidRDefault="00450D67" w:rsidP="00450D67">
      <w:pPr>
        <w:pStyle w:val="ListParagraph"/>
        <w:keepNext/>
        <w:numPr>
          <w:ilvl w:val="1"/>
          <w:numId w:val="13"/>
        </w:numPr>
        <w:spacing w:after="0" w:line="240" w:lineRule="auto"/>
        <w:rPr>
          <w:rFonts w:eastAsia="Calibri" w:cs="Arial"/>
          <w:b/>
        </w:rPr>
      </w:pPr>
      <w:r w:rsidRPr="00D35281">
        <w:rPr>
          <w:rFonts w:eastAsia="Calibri" w:cs="Arial"/>
        </w:rPr>
        <w:t xml:space="preserve">What appear to be the barriers to success and opportunities to increase success at this stage in SIU development? How could SIU be adjusted to address these barriers and opportunities </w:t>
      </w:r>
    </w:p>
    <w:p w:rsidR="00450D67" w:rsidRPr="00D35281" w:rsidRDefault="00450D67" w:rsidP="00450D67">
      <w:pPr>
        <w:pStyle w:val="ListParagraph"/>
        <w:ind w:left="792"/>
        <w:rPr>
          <w:rFonts w:eastAsia="Calibri" w:cs="Arial"/>
          <w:b/>
        </w:rPr>
      </w:pPr>
    </w:p>
    <w:p w:rsidR="00450D67" w:rsidRPr="00D35281" w:rsidRDefault="00450D67" w:rsidP="00450D67">
      <w:pPr>
        <w:pStyle w:val="ListParagraph"/>
        <w:numPr>
          <w:ilvl w:val="0"/>
          <w:numId w:val="13"/>
        </w:numPr>
        <w:spacing w:after="0" w:line="240" w:lineRule="auto"/>
        <w:rPr>
          <w:rFonts w:eastAsia="Calibri" w:cs="Arial"/>
          <w:b/>
        </w:rPr>
      </w:pPr>
      <w:r w:rsidRPr="00D35281">
        <w:rPr>
          <w:rFonts w:eastAsia="Calibri" w:cs="Arial"/>
        </w:rPr>
        <w:t xml:space="preserve">To what extent and in what circumstances is monitoring the SIU performance adequate to inform accountability reporting and management decisions? </w:t>
      </w:r>
    </w:p>
    <w:p w:rsidR="00450D67" w:rsidRPr="00D35281" w:rsidRDefault="00450D67" w:rsidP="00450D67">
      <w:pPr>
        <w:rPr>
          <w:rFonts w:eastAsia="Calibri" w:cs="Arial"/>
        </w:rPr>
      </w:pPr>
    </w:p>
    <w:p w:rsidR="00450D67" w:rsidRPr="00450D67" w:rsidRDefault="00450D67" w:rsidP="00450D67">
      <w:pPr>
        <w:keepNext/>
        <w:rPr>
          <w:rFonts w:eastAsia="Calibri" w:cs="Arial"/>
          <w:b/>
        </w:rPr>
      </w:pPr>
      <w:r w:rsidRPr="00D35281">
        <w:rPr>
          <w:rFonts w:eastAsia="Calibri" w:cs="Arial"/>
          <w:b/>
        </w:rPr>
        <w:lastRenderedPageBreak/>
        <w:t>Program Design</w:t>
      </w:r>
    </w:p>
    <w:p w:rsidR="00450D67" w:rsidRDefault="00450D67" w:rsidP="00450D67">
      <w:pPr>
        <w:pStyle w:val="ListParagraph"/>
        <w:keepNext/>
        <w:numPr>
          <w:ilvl w:val="0"/>
          <w:numId w:val="13"/>
        </w:numPr>
        <w:spacing w:after="0" w:line="240" w:lineRule="auto"/>
        <w:rPr>
          <w:rFonts w:eastAsia="Calibri" w:cs="Arial"/>
        </w:rPr>
      </w:pPr>
      <w:r w:rsidRPr="00D35281">
        <w:rPr>
          <w:rFonts w:eastAsia="Calibri" w:cs="Arial"/>
        </w:rPr>
        <w:t>To what extent and in what circumstances the SIU demonstrate effectiveness, efficiency and economy?</w:t>
      </w:r>
    </w:p>
    <w:p w:rsidR="00450D67" w:rsidRPr="00D35281" w:rsidRDefault="00450D67" w:rsidP="00450D67">
      <w:pPr>
        <w:pStyle w:val="ListParagraph"/>
        <w:keepNext/>
        <w:spacing w:after="0" w:line="240" w:lineRule="auto"/>
        <w:ind w:left="360"/>
        <w:rPr>
          <w:rFonts w:eastAsia="Calibri" w:cs="Arial"/>
        </w:rPr>
      </w:pPr>
    </w:p>
    <w:p w:rsidR="00450D67" w:rsidRPr="00D35281" w:rsidRDefault="00450D67" w:rsidP="00450D67">
      <w:pPr>
        <w:pStyle w:val="ListParagraph"/>
        <w:keepNext/>
        <w:numPr>
          <w:ilvl w:val="1"/>
          <w:numId w:val="13"/>
        </w:numPr>
        <w:spacing w:after="0" w:line="240" w:lineRule="auto"/>
        <w:rPr>
          <w:rFonts w:eastAsia="Calibri" w:cs="Arial"/>
        </w:rPr>
      </w:pPr>
      <w:r w:rsidRPr="00D35281">
        <w:rPr>
          <w:rFonts w:eastAsia="Calibri" w:cs="Arial"/>
        </w:rPr>
        <w:t xml:space="preserve">How has the design of the SIU facilitate or inhibit the achievement of outcomes in various contexts and conditions? </w:t>
      </w:r>
    </w:p>
    <w:p w:rsidR="00450D67" w:rsidRPr="00D35281" w:rsidRDefault="00450D67" w:rsidP="00450D67">
      <w:pPr>
        <w:pStyle w:val="ListParagraph"/>
        <w:keepNext/>
        <w:numPr>
          <w:ilvl w:val="1"/>
          <w:numId w:val="13"/>
        </w:numPr>
        <w:spacing w:after="0" w:line="240" w:lineRule="auto"/>
        <w:rPr>
          <w:rFonts w:eastAsia="Calibri" w:cs="Arial"/>
        </w:rPr>
      </w:pPr>
      <w:r w:rsidRPr="00D35281">
        <w:rPr>
          <w:rFonts w:eastAsia="Calibri" w:cs="Arial"/>
        </w:rPr>
        <w:t>Are there alternative approaches that would increase the cost-effectiveness of the SIU?</w:t>
      </w:r>
    </w:p>
    <w:p w:rsidR="00450D67" w:rsidRPr="00D35281" w:rsidRDefault="00450D67" w:rsidP="00450D67">
      <w:pPr>
        <w:keepNext/>
        <w:rPr>
          <w:rFonts w:eastAsia="Calibri" w:cs="Arial"/>
        </w:rPr>
      </w:pPr>
    </w:p>
    <w:p w:rsidR="00450D67" w:rsidRPr="00450D67" w:rsidRDefault="00450D67" w:rsidP="00450D67">
      <w:pPr>
        <w:rPr>
          <w:rFonts w:eastAsia="Calibri" w:cstheme="minorHAnsi"/>
        </w:rPr>
      </w:pPr>
      <w:r w:rsidRPr="00D35281">
        <w:rPr>
          <w:rFonts w:eastAsia="Calibri" w:cstheme="minorHAnsi"/>
        </w:rPr>
        <w:t xml:space="preserve">While the final evaluation design is to be determined, the following sources and methodologies could be considered for the evaluation of </w:t>
      </w:r>
      <w:r w:rsidRPr="00D35281">
        <w:rPr>
          <w:rFonts w:eastAsia="Calibri" w:cs="Arial"/>
        </w:rPr>
        <w:t>the SIU.</w:t>
      </w:r>
    </w:p>
    <w:p w:rsidR="00450D67" w:rsidRPr="00450D67" w:rsidRDefault="00450D67" w:rsidP="00450D67">
      <w:pPr>
        <w:rPr>
          <w:rFonts w:eastAsia="Calibri" w:cstheme="minorHAnsi"/>
          <w:b/>
          <w:sz w:val="24"/>
          <w:szCs w:val="24"/>
          <w:u w:val="single"/>
        </w:rPr>
      </w:pPr>
      <w:r w:rsidRPr="00D35281">
        <w:rPr>
          <w:rFonts w:eastAsia="Calibri" w:cstheme="minorHAnsi"/>
          <w:b/>
          <w:sz w:val="24"/>
          <w:szCs w:val="24"/>
          <w:u w:val="single"/>
        </w:rPr>
        <w:t>Sources</w:t>
      </w:r>
    </w:p>
    <w:p w:rsidR="00450D67" w:rsidRPr="00D35281" w:rsidRDefault="00450D67" w:rsidP="00450D67">
      <w:pPr>
        <w:contextualSpacing/>
        <w:rPr>
          <w:rFonts w:eastAsia="Calibri" w:cstheme="minorHAnsi"/>
        </w:rPr>
      </w:pPr>
      <w:r w:rsidRPr="00D35281">
        <w:rPr>
          <w:rFonts w:eastAsia="Calibri" w:cstheme="minorHAnsi"/>
          <w:b/>
        </w:rPr>
        <w:t>Document Review:</w:t>
      </w:r>
      <w:r w:rsidRPr="00D35281">
        <w:rPr>
          <w:rFonts w:eastAsia="Calibri" w:cstheme="minorHAnsi"/>
        </w:rPr>
        <w:t xml:space="preserve">  This could include a blend of program documents (e.g. records of assessments of applications, minutes Governance meetings, including various project related networks, or others etc.) and documents from various partner entities (e.g. annual performance reports, case reporting, budgets, financial statements, etc.).</w:t>
      </w:r>
    </w:p>
    <w:p w:rsidR="00450D67" w:rsidRPr="00D35281" w:rsidRDefault="00450D67" w:rsidP="00450D67">
      <w:pPr>
        <w:ind w:left="360"/>
        <w:contextualSpacing/>
        <w:rPr>
          <w:rFonts w:eastAsia="Calibri" w:cstheme="minorHAnsi"/>
        </w:rPr>
      </w:pPr>
    </w:p>
    <w:p w:rsidR="00450D67" w:rsidRPr="00450D67" w:rsidRDefault="00450D67" w:rsidP="00450D67">
      <w:pPr>
        <w:contextualSpacing/>
        <w:rPr>
          <w:rFonts w:eastAsia="Calibri" w:cstheme="minorHAnsi"/>
        </w:rPr>
      </w:pPr>
      <w:r w:rsidRPr="00D35281">
        <w:rPr>
          <w:rFonts w:eastAsia="Calibri" w:cstheme="minorHAnsi"/>
          <w:b/>
        </w:rPr>
        <w:t>Program Data:</w:t>
      </w:r>
      <w:r w:rsidRPr="00D35281">
        <w:rPr>
          <w:rFonts w:eastAsia="Calibri" w:cstheme="minorHAnsi"/>
        </w:rPr>
        <w:t xml:space="preserve"> This should include all data collected as part of ongoing performance measurement and would include both project and program files as well as the following:</w:t>
      </w:r>
    </w:p>
    <w:p w:rsidR="00450D67" w:rsidRPr="00D35281" w:rsidRDefault="00450D67" w:rsidP="00450D67">
      <w:pPr>
        <w:pStyle w:val="ListParagraph"/>
        <w:numPr>
          <w:ilvl w:val="0"/>
          <w:numId w:val="15"/>
        </w:numPr>
        <w:spacing w:after="0" w:line="240" w:lineRule="auto"/>
        <w:rPr>
          <w:rFonts w:eastAsia="Calibri" w:cstheme="minorHAnsi"/>
        </w:rPr>
      </w:pPr>
      <w:r w:rsidRPr="00D35281">
        <w:rPr>
          <w:rFonts w:eastAsia="Calibri" w:cstheme="minorHAnsi"/>
          <w:b/>
        </w:rPr>
        <w:t xml:space="preserve">Correspondence: </w:t>
      </w:r>
      <w:r w:rsidRPr="00D35281">
        <w:rPr>
          <w:rFonts w:eastAsia="Calibri" w:cstheme="minorHAnsi"/>
        </w:rPr>
        <w:t xml:space="preserve">Various types of correspondence may be analyzed to assess the level of engagement, reactions, capacity and actions of various groups or individuals in various contexts.  Correspondence may also be content analyzed for tone and attitude. </w:t>
      </w:r>
    </w:p>
    <w:p w:rsidR="00450D67" w:rsidRPr="00D35281" w:rsidRDefault="00450D67" w:rsidP="00450D67">
      <w:pPr>
        <w:pStyle w:val="ListParagraph"/>
        <w:rPr>
          <w:rFonts w:eastAsia="Calibri" w:cstheme="minorHAnsi"/>
        </w:rPr>
      </w:pPr>
    </w:p>
    <w:p w:rsidR="00450D67" w:rsidRDefault="00450D67" w:rsidP="00450D67">
      <w:pPr>
        <w:pStyle w:val="ListParagraph"/>
        <w:numPr>
          <w:ilvl w:val="0"/>
          <w:numId w:val="15"/>
        </w:numPr>
        <w:spacing w:after="0" w:line="240" w:lineRule="auto"/>
        <w:rPr>
          <w:rFonts w:eastAsia="Calibri" w:cstheme="minorHAnsi"/>
        </w:rPr>
      </w:pPr>
      <w:r w:rsidRPr="00D35281">
        <w:rPr>
          <w:rFonts w:eastAsia="Calibri" w:cstheme="minorHAnsi"/>
          <w:b/>
        </w:rPr>
        <w:t xml:space="preserve">Web metrics: </w:t>
      </w:r>
      <w:r w:rsidRPr="00D35281">
        <w:rPr>
          <w:rFonts w:eastAsia="Calibri" w:cstheme="minorHAnsi"/>
        </w:rPr>
        <w:t>The worldwide web will serve a s key source for this online phenomenon. See methods below.</w:t>
      </w:r>
    </w:p>
    <w:p w:rsidR="00450D67" w:rsidRPr="00450D67" w:rsidRDefault="00450D67" w:rsidP="00450D67">
      <w:pPr>
        <w:pStyle w:val="ListParagraph"/>
        <w:spacing w:after="0" w:line="240" w:lineRule="auto"/>
        <w:rPr>
          <w:rFonts w:eastAsia="Calibri" w:cstheme="minorHAnsi"/>
        </w:rPr>
      </w:pPr>
    </w:p>
    <w:p w:rsidR="00450D67" w:rsidRPr="00D35281" w:rsidRDefault="00450D67" w:rsidP="00450D67">
      <w:pPr>
        <w:pStyle w:val="ListParagraph"/>
        <w:numPr>
          <w:ilvl w:val="0"/>
          <w:numId w:val="15"/>
        </w:numPr>
        <w:spacing w:after="0" w:line="240" w:lineRule="auto"/>
        <w:rPr>
          <w:rFonts w:eastAsia="Calibri" w:cstheme="minorHAnsi"/>
        </w:rPr>
      </w:pPr>
      <w:r w:rsidRPr="00D35281">
        <w:rPr>
          <w:rFonts w:eastAsia="Calibri" w:cstheme="minorHAnsi"/>
          <w:b/>
        </w:rPr>
        <w:t xml:space="preserve">Media mentions: </w:t>
      </w:r>
      <w:r w:rsidRPr="00D35281">
        <w:rPr>
          <w:rFonts w:eastAsia="Calibri" w:cstheme="minorHAnsi"/>
        </w:rPr>
        <w:t xml:space="preserve">Both formal traditional media and social and new media mentions may allow for the evaluation to gage the prominence, viewpoints and attitudes out there re: various innovations and adoptions. </w:t>
      </w:r>
    </w:p>
    <w:p w:rsidR="00450D67" w:rsidRPr="00D35281" w:rsidRDefault="00450D67" w:rsidP="00450D67">
      <w:pPr>
        <w:contextualSpacing/>
        <w:rPr>
          <w:rFonts w:eastAsia="Calibri" w:cstheme="minorHAnsi"/>
        </w:rPr>
      </w:pPr>
    </w:p>
    <w:p w:rsidR="00450D67" w:rsidRPr="00D35281" w:rsidRDefault="00450D67" w:rsidP="00450D67">
      <w:pPr>
        <w:contextualSpacing/>
        <w:rPr>
          <w:rFonts w:eastAsia="Calibri" w:cstheme="minorHAnsi"/>
          <w:b/>
        </w:rPr>
      </w:pPr>
      <w:r w:rsidRPr="00D35281">
        <w:rPr>
          <w:rFonts w:eastAsia="Calibri" w:cstheme="minorHAnsi"/>
          <w:b/>
        </w:rPr>
        <w:t xml:space="preserve">Surveys: </w:t>
      </w:r>
      <w:r w:rsidRPr="00D35281">
        <w:rPr>
          <w:rFonts w:eastAsia="Calibri" w:cstheme="minorHAnsi"/>
        </w:rPr>
        <w:t>Some form of outreaching survey may be used for groups and individuals who can offer medium to low depth perspectives on</w:t>
      </w:r>
      <w:r w:rsidRPr="00D35281">
        <w:rPr>
          <w:rFonts w:eastAsia="Calibri" w:cs="Arial"/>
        </w:rPr>
        <w:t xml:space="preserve"> SIU projects</w:t>
      </w:r>
      <w:r w:rsidRPr="00D35281">
        <w:rPr>
          <w:rFonts w:eastAsia="Calibri" w:cstheme="minorHAnsi"/>
        </w:rPr>
        <w:t xml:space="preserve">. A survey may also be used to ensure sufficient sample coverage. Higher depth respondents will be covered by interviews. </w:t>
      </w:r>
    </w:p>
    <w:p w:rsidR="00450D67" w:rsidRPr="00D35281" w:rsidRDefault="00450D67" w:rsidP="00450D67">
      <w:pPr>
        <w:ind w:left="360"/>
        <w:contextualSpacing/>
        <w:rPr>
          <w:rFonts w:eastAsia="Calibri" w:cstheme="minorHAnsi"/>
          <w:b/>
        </w:rPr>
      </w:pPr>
    </w:p>
    <w:p w:rsidR="00450D67" w:rsidRPr="00D35281" w:rsidRDefault="00450D67" w:rsidP="00450D67">
      <w:pPr>
        <w:contextualSpacing/>
        <w:rPr>
          <w:rFonts w:eastAsia="Calibri" w:cstheme="minorHAnsi"/>
          <w:b/>
        </w:rPr>
      </w:pPr>
      <w:r w:rsidRPr="00D35281">
        <w:rPr>
          <w:rFonts w:eastAsia="Calibri" w:cstheme="minorHAnsi"/>
          <w:b/>
        </w:rPr>
        <w:t>Interviews:</w:t>
      </w:r>
      <w:r w:rsidRPr="00D35281">
        <w:rPr>
          <w:rFonts w:eastAsia="Calibri" w:cstheme="minorHAnsi"/>
        </w:rPr>
        <w:t xml:space="preserve"> In order to address issues, interviews with a OEE-SIU staff, and various stakeholders in the initiative’s sphere of influence (e.g. policy makers and government representatives, subject area experts, businesses, civil society members, academia and consumers – along with their associations) will be asked to provide input into a range of evaluation issues.</w:t>
      </w:r>
    </w:p>
    <w:p w:rsidR="00450D67" w:rsidRPr="00D35281" w:rsidRDefault="00450D67" w:rsidP="00450D67">
      <w:pPr>
        <w:ind w:left="360"/>
        <w:contextualSpacing/>
        <w:rPr>
          <w:rFonts w:eastAsia="Calibri" w:cstheme="minorHAnsi"/>
          <w:b/>
        </w:rPr>
      </w:pPr>
    </w:p>
    <w:p w:rsidR="00450D67" w:rsidRPr="00D35281" w:rsidRDefault="00450D67" w:rsidP="00450D67">
      <w:pPr>
        <w:contextualSpacing/>
        <w:rPr>
          <w:rFonts w:eastAsia="Calibri" w:cstheme="minorHAnsi"/>
        </w:rPr>
      </w:pPr>
      <w:r w:rsidRPr="00D35281">
        <w:rPr>
          <w:rFonts w:eastAsia="Calibri" w:cstheme="minorHAnsi"/>
          <w:b/>
        </w:rPr>
        <w:lastRenderedPageBreak/>
        <w:t>Case Studies:</w:t>
      </w:r>
      <w:r w:rsidRPr="00D35281">
        <w:rPr>
          <w:rFonts w:eastAsia="Calibri" w:cstheme="minorHAnsi"/>
        </w:rPr>
        <w:t xml:space="preserve"> In this case, case studies refer to analysis of information on relevant evaluation questions for specific initiatives. Case study reports will present results for significant SIU project initiatives – potentially selected for ‘best in area’, representativeness or materiality of investment. </w:t>
      </w:r>
    </w:p>
    <w:p w:rsidR="00450D67" w:rsidRPr="00D35281" w:rsidRDefault="00450D67" w:rsidP="00450D67">
      <w:pPr>
        <w:contextualSpacing/>
        <w:rPr>
          <w:rFonts w:eastAsia="Calibri" w:cstheme="minorHAnsi"/>
        </w:rPr>
      </w:pPr>
    </w:p>
    <w:p w:rsidR="00450D67" w:rsidRPr="00D35281" w:rsidRDefault="00450D67" w:rsidP="00450D67">
      <w:pPr>
        <w:contextualSpacing/>
        <w:rPr>
          <w:rFonts w:eastAsia="Calibri" w:cstheme="minorHAnsi"/>
        </w:rPr>
      </w:pPr>
      <w:r w:rsidRPr="00D35281">
        <w:rPr>
          <w:rFonts w:eastAsia="Calibri" w:cstheme="minorHAnsi"/>
        </w:rPr>
        <w:t>Case studies will be used to complement more general information from performance measures and broadly expressed opinions. Each case area is expected to have a history and life of its own. They therefore can best be understood by first developing an in-depth knowledge of its context, nature and dynamics.  Given the limited number of projects conducted to date, a selection may be reviewed so as to draw the most insight possible with the data available.</w:t>
      </w:r>
    </w:p>
    <w:p w:rsidR="00450D67" w:rsidRPr="00D35281" w:rsidRDefault="00450D67" w:rsidP="00450D67">
      <w:pPr>
        <w:contextualSpacing/>
        <w:rPr>
          <w:rFonts w:eastAsia="Calibri" w:cstheme="minorHAnsi"/>
        </w:rPr>
      </w:pPr>
    </w:p>
    <w:p w:rsidR="00450D67" w:rsidRPr="00D35281" w:rsidRDefault="00450D67" w:rsidP="00450D67">
      <w:pPr>
        <w:contextualSpacing/>
        <w:rPr>
          <w:rFonts w:eastAsia="Calibri" w:cstheme="minorHAnsi"/>
        </w:rPr>
      </w:pPr>
      <w:r w:rsidRPr="00D35281">
        <w:rPr>
          <w:rFonts w:eastAsia="Calibri" w:cstheme="minorHAnsi"/>
        </w:rPr>
        <w:t xml:space="preserve">Each case study will involve an in-depth review of the need area, and therefore will include methods to address all evaluation questions of direct relevance to the SIU using multiple lines of evidence.  Each case study write-up could be structured similarly to a program’s evaluation report and based on the project based results logic. (See </w:t>
      </w:r>
      <w:r w:rsidRPr="00D35281">
        <w:rPr>
          <w:rFonts w:eastAsia="Calibri" w:cstheme="minorHAnsi"/>
          <w:b/>
        </w:rPr>
        <w:t>Annex B</w:t>
      </w:r>
      <w:r w:rsidRPr="00D35281">
        <w:rPr>
          <w:rFonts w:eastAsia="Calibri" w:cstheme="minorHAnsi"/>
        </w:rPr>
        <w:t>.)</w:t>
      </w:r>
    </w:p>
    <w:p w:rsidR="00450D67" w:rsidRPr="00D35281" w:rsidRDefault="00450D67" w:rsidP="00450D67">
      <w:pPr>
        <w:contextualSpacing/>
        <w:rPr>
          <w:rFonts w:eastAsia="Calibri" w:cstheme="minorHAnsi"/>
        </w:rPr>
      </w:pPr>
    </w:p>
    <w:p w:rsidR="00450D67" w:rsidRDefault="00450D67" w:rsidP="00450D67">
      <w:pPr>
        <w:contextualSpacing/>
        <w:rPr>
          <w:rFonts w:eastAsia="Calibri" w:cstheme="minorHAnsi"/>
        </w:rPr>
      </w:pPr>
      <w:r w:rsidRPr="00D35281">
        <w:rPr>
          <w:rFonts w:eastAsia="Calibri" w:cstheme="minorHAnsi"/>
        </w:rPr>
        <w:t xml:space="preserve">The case studies will therefore include at minimum a review of documents and program administrative data and key informant interviews. Some cases might draw on other methods and approaches such as web analytics service blueprinting and possibly even survey data. Case study information will be analyzed by entity and across entities and other data sources for integrated analysis and reporting.  See </w:t>
      </w:r>
      <w:r w:rsidRPr="00D35281">
        <w:rPr>
          <w:rFonts w:eastAsia="Calibri" w:cstheme="minorHAnsi"/>
          <w:b/>
        </w:rPr>
        <w:t>Annex A.3</w:t>
      </w:r>
      <w:r w:rsidRPr="00D35281">
        <w:rPr>
          <w:rFonts w:eastAsia="Calibri" w:cstheme="minorHAnsi"/>
        </w:rPr>
        <w:t xml:space="preserve"> for a further discussion of case study approaches.</w:t>
      </w:r>
    </w:p>
    <w:p w:rsidR="00450D67" w:rsidRPr="00D35281" w:rsidRDefault="00450D67" w:rsidP="00450D67">
      <w:pPr>
        <w:contextualSpacing/>
        <w:rPr>
          <w:rFonts w:eastAsia="Calibri" w:cstheme="minorHAnsi"/>
        </w:rPr>
      </w:pPr>
    </w:p>
    <w:p w:rsidR="00450D67" w:rsidRPr="00450D67" w:rsidRDefault="00450D67" w:rsidP="00450D67">
      <w:pPr>
        <w:rPr>
          <w:rFonts w:eastAsia="Calibri" w:cstheme="minorHAnsi"/>
          <w:b/>
          <w:sz w:val="24"/>
          <w:szCs w:val="24"/>
          <w:u w:val="single"/>
        </w:rPr>
      </w:pPr>
      <w:r w:rsidRPr="00D35281">
        <w:rPr>
          <w:rFonts w:eastAsia="Calibri" w:cstheme="minorHAnsi"/>
          <w:b/>
          <w:sz w:val="24"/>
          <w:szCs w:val="24"/>
          <w:u w:val="single"/>
        </w:rPr>
        <w:t>Approaches</w:t>
      </w:r>
    </w:p>
    <w:p w:rsidR="00450D67" w:rsidRPr="00D35281" w:rsidRDefault="00450D67" w:rsidP="00450D67">
      <w:pPr>
        <w:rPr>
          <w:rFonts w:eastAsia="Calibri" w:cstheme="minorHAnsi"/>
        </w:rPr>
      </w:pPr>
      <w:r w:rsidRPr="00D35281">
        <w:rPr>
          <w:rFonts w:eastAsia="Calibri" w:cstheme="minorHAnsi"/>
          <w:b/>
        </w:rPr>
        <w:t>Developmental Evaluation:</w:t>
      </w:r>
      <w:r w:rsidRPr="00D35281">
        <w:rPr>
          <w:rFonts w:eastAsia="Calibri" w:cstheme="minorHAnsi"/>
        </w:rPr>
        <w:t xml:space="preserve">  (DE) is an evaluation approach that can assist social innovators develop social change initiatives in complex or uncertain environments. As noted, developmental evaluation principles will be at the core of the evaluation of the SIU.  Having said this, the approach will draw on a number of specific approaches to support evaluation.</w:t>
      </w:r>
    </w:p>
    <w:p w:rsidR="00450D67" w:rsidRPr="00D35281" w:rsidRDefault="00450D67" w:rsidP="00450D67">
      <w:pPr>
        <w:rPr>
          <w:rFonts w:eastAsia="Calibri" w:cstheme="minorHAnsi"/>
        </w:rPr>
      </w:pPr>
      <w:r w:rsidRPr="00D35281">
        <w:rPr>
          <w:rFonts w:eastAsia="Calibri" w:cstheme="minorHAnsi"/>
          <w:b/>
        </w:rPr>
        <w:t>Program Theory Driven:</w:t>
      </w:r>
      <w:r w:rsidRPr="00D35281">
        <w:rPr>
          <w:rFonts w:eastAsia="Calibri" w:cstheme="minorHAnsi"/>
        </w:rPr>
        <w:t xml:space="preserve">  A program theory driven evaluation</w:t>
      </w:r>
      <w:r w:rsidRPr="00D35281">
        <w:rPr>
          <w:rFonts w:eastAsia="Calibri" w:cstheme="minorHAnsi"/>
          <w:vertAlign w:val="superscript"/>
        </w:rPr>
        <w:footnoteReference w:id="20"/>
      </w:r>
      <w:r w:rsidRPr="00D35281">
        <w:rPr>
          <w:rFonts w:eastAsia="Calibri" w:cstheme="minorHAnsi"/>
        </w:rPr>
        <w:t xml:space="preserve"> involves the systematic use of substantive knowledge about the program being examined and rigorous approaches  to improve, to produce knowledge and feedback about, and to determine the merit, worth, and significance of the initiative – in this case the OEE-SIU. The Government of Canada was one of the first to advocate for this type of evaluation approach and it is in fact essentially built in to current Federal Government evaluation practice. </w:t>
      </w:r>
    </w:p>
    <w:p w:rsidR="00450D67" w:rsidRPr="00D35281" w:rsidRDefault="00450D67" w:rsidP="00450D67">
      <w:pPr>
        <w:rPr>
          <w:rFonts w:eastAsia="Calibri" w:cstheme="minorHAnsi"/>
        </w:rPr>
      </w:pPr>
      <w:r w:rsidRPr="00D35281">
        <w:rPr>
          <w:rFonts w:eastAsia="Calibri" w:cstheme="minorHAnsi"/>
          <w:b/>
        </w:rPr>
        <w:t>Mixed Methods:</w:t>
      </w:r>
      <w:r w:rsidRPr="00D35281">
        <w:rPr>
          <w:rFonts w:eastAsia="Calibri" w:cstheme="minorHAnsi"/>
        </w:rPr>
        <w:t xml:space="preserve">  The evaluation of the OEE-SIU will be conducted as a mixed methods evaluation seeking to integrate social science disciplines with predominantly quantitative and predominantly qualitative approaches to theory, data collection, data analysis and interpretation. The purpose is to strengthen the reliability of data, validity of the findings and recommendations, and to broaden and deepen </w:t>
      </w:r>
      <w:r w:rsidRPr="00D35281">
        <w:rPr>
          <w:rFonts w:eastAsia="Calibri" w:cstheme="minorHAnsi"/>
        </w:rPr>
        <w:lastRenderedPageBreak/>
        <w:t xml:space="preserve">our understanding of the processes through which outcomes and impacts are achieved, and how these are affected by the context within which the program is implemented. </w:t>
      </w:r>
      <w:r w:rsidRPr="00D35281">
        <w:rPr>
          <w:rFonts w:eastAsia="Calibri" w:cstheme="minorHAnsi"/>
          <w:vertAlign w:val="superscript"/>
        </w:rPr>
        <w:footnoteReference w:id="21"/>
      </w:r>
    </w:p>
    <w:p w:rsidR="00450D67" w:rsidRPr="00D35281" w:rsidRDefault="00450D67" w:rsidP="00450D67">
      <w:pPr>
        <w:rPr>
          <w:rFonts w:eastAsia="Calibri" w:cstheme="minorHAnsi"/>
        </w:rPr>
      </w:pPr>
      <w:r w:rsidRPr="00D35281">
        <w:rPr>
          <w:rFonts w:eastAsia="Calibri" w:cstheme="minorHAnsi"/>
          <w:b/>
        </w:rPr>
        <w:t>Realist Evaluation:</w:t>
      </w:r>
      <w:r w:rsidRPr="00D35281">
        <w:rPr>
          <w:rFonts w:eastAsia="Calibri" w:cstheme="minorHAnsi"/>
        </w:rPr>
        <w:t xml:space="preserve">  Realist evaluation is a form of theory-driven evaluation. Pawson and Tilley (1997) developed the first realist evaluation approach. They argued that in order to be useful for decision makers, evaluations need to identify ‘what works in which circumstances and for whom?’, rather than merely ‘does it work’? Part of the process is to identify mechanisms which associate with people responding with certain behaviors. (e.g. Education could be seen as a mechanism which people are expected to respond to by learning things and then rationally adopting products, practices and behaviours.)  Each mechanism is thought to take place </w:t>
      </w:r>
      <w:r w:rsidRPr="00D35281">
        <w:rPr>
          <w:rFonts w:eastAsia="Calibri" w:cstheme="minorHAnsi"/>
          <w:i/>
        </w:rPr>
        <w:t>in context</w:t>
      </w:r>
      <w:r w:rsidRPr="00D35281">
        <w:rPr>
          <w:rFonts w:eastAsia="Calibri" w:cstheme="minorHAnsi"/>
        </w:rPr>
        <w:t xml:space="preserve"> – such that the context affects the level and extent that the mechanism will work to produce a desired outcome. (So, if the individual being ‘educated’ is under significant stress, or perhaps lacks some basic capacity in e-commerce usage, the messages regarding an online energy saving ‘app’ may not result in appropriate learning and adoptive actions but rather in misperceptions, anxiety and ‘overkill’ behaviours or continued (blissful) ignorance – leading to suboptimal results.) </w:t>
      </w:r>
    </w:p>
    <w:p w:rsidR="00450D67" w:rsidRDefault="00450D67" w:rsidP="00450D67">
      <w:pPr>
        <w:rPr>
          <w:rFonts w:cstheme="minorHAnsi"/>
        </w:rPr>
      </w:pPr>
      <w:r w:rsidRPr="00D35281">
        <w:rPr>
          <w:rFonts w:eastAsia="Calibri" w:cstheme="minorHAnsi"/>
          <w:b/>
        </w:rPr>
        <w:t>Contribution Analysis:</w:t>
      </w:r>
      <w:r w:rsidRPr="00D35281">
        <w:rPr>
          <w:rFonts w:eastAsia="Calibri" w:cstheme="minorHAnsi"/>
        </w:rPr>
        <w:t xml:space="preserve">  </w:t>
      </w:r>
      <w:r w:rsidRPr="00D35281">
        <w:rPr>
          <w:rFonts w:cstheme="minorHAnsi"/>
        </w:rPr>
        <w:t>Contribution Analysis is an approach for assessing cause-effect questions and inferring causality in real-life program evaluations. It offers a step-by-step approach designed to help managers, researchers, and policymakers arrive at conclusions about the contribution their program or initiative has made (or is currently making) to particular outcomes. The essential value of contribution analysis is that it offers an approach designed to reduce uncertainty about the contribution the intervention is making to the observed results through an increased understanding of why the observed results have occurred (or not!) and the roles played by the intervention and other internal and external factors.</w:t>
      </w:r>
    </w:p>
    <w:p w:rsidR="00450D67" w:rsidRPr="00450D67" w:rsidRDefault="00450D67" w:rsidP="00450D67">
      <w:pPr>
        <w:rPr>
          <w:rFonts w:cstheme="minorHAnsi"/>
        </w:rPr>
      </w:pPr>
      <w:r w:rsidRPr="00D35281">
        <w:rPr>
          <w:rFonts w:cstheme="minorHAnsi"/>
        </w:rPr>
        <w:t xml:space="preserve">Contribution analysis will be usefully applied in this case because the nature of SIU interventions often makes difficult an assessment of directly attributable causation. For this reason a contribution analysis approach will be used to more pragmatically assess what difference the various SIU initiatives have been making. </w:t>
      </w:r>
    </w:p>
    <w:p w:rsidR="00450D67" w:rsidRPr="00450D67" w:rsidRDefault="00450D67" w:rsidP="00450D67">
      <w:pPr>
        <w:rPr>
          <w:rFonts w:eastAsia="Calibri" w:cstheme="minorHAnsi"/>
          <w:b/>
          <w:sz w:val="24"/>
          <w:szCs w:val="24"/>
          <w:u w:val="single"/>
        </w:rPr>
      </w:pPr>
      <w:r w:rsidRPr="00D35281">
        <w:rPr>
          <w:rFonts w:eastAsia="Calibri" w:cstheme="minorHAnsi"/>
          <w:b/>
          <w:sz w:val="24"/>
          <w:szCs w:val="24"/>
          <w:u w:val="single"/>
        </w:rPr>
        <w:t>Methods</w:t>
      </w:r>
    </w:p>
    <w:p w:rsidR="00450D67" w:rsidRPr="00D35281" w:rsidRDefault="00450D67" w:rsidP="00450D67">
      <w:pPr>
        <w:rPr>
          <w:rFonts w:eastAsia="Times New Roman" w:cstheme="minorHAnsi"/>
        </w:rPr>
      </w:pPr>
      <w:r w:rsidRPr="00D35281">
        <w:rPr>
          <w:rFonts w:eastAsia="Calibri" w:cstheme="minorHAnsi"/>
          <w:b/>
        </w:rPr>
        <w:t>Content Analysis:</w:t>
      </w:r>
      <w:r w:rsidRPr="00D35281">
        <w:rPr>
          <w:rFonts w:eastAsia="Calibri" w:cstheme="minorHAnsi"/>
        </w:rPr>
        <w:t xml:space="preserve">  </w:t>
      </w:r>
      <w:r w:rsidRPr="00D35281">
        <w:rPr>
          <w:rFonts w:eastAsia="Times New Roman" w:cstheme="minorHAnsi"/>
        </w:rPr>
        <w:t xml:space="preserve">Content analysis is a research option in the social sciences used to reduce large amounts of unstructured textual content into manageable data relevant to the (evaluation) research questions.  </w:t>
      </w:r>
    </w:p>
    <w:p w:rsidR="00450D67" w:rsidRPr="00D35281" w:rsidRDefault="00450D67" w:rsidP="00450D67">
      <w:pPr>
        <w:rPr>
          <w:rFonts w:eastAsia="Times New Roman" w:cstheme="minorHAnsi"/>
        </w:rPr>
      </w:pPr>
      <w:r w:rsidRPr="00D35281">
        <w:rPr>
          <w:rFonts w:eastAsia="Times New Roman" w:cstheme="minorHAnsi"/>
        </w:rPr>
        <w:t xml:space="preserve">Texts refer to any occurrence of communications – including websites, social media, books, essays, interviews, focus groups, diaries, discussions, articles, speeches, conversations, advertising, theater, informal conversation, and so on. To conduct a content analysis on any such text, the text is broken down into manageable categories on a variety of levels (i.e., key words, word sense, phrase, sentence, or theme) and coded. The coded content can then be quantitatively analyzed for trends, patterns, relationships, similarities, differences etc., </w:t>
      </w:r>
      <w:r w:rsidRPr="00D35281">
        <w:rPr>
          <w:rFonts w:eastAsia="Times New Roman" w:cstheme="minorHAnsi"/>
        </w:rPr>
        <w:lastRenderedPageBreak/>
        <w:t>from which researchers can get insights and make inferences about the messages within the texts, the writer(s) and the context.  Interpretation of the data may be based on:</w:t>
      </w:r>
    </w:p>
    <w:p w:rsidR="00450D67" w:rsidRPr="00D35281" w:rsidRDefault="00450D67" w:rsidP="00450D67">
      <w:pPr>
        <w:numPr>
          <w:ilvl w:val="0"/>
          <w:numId w:val="14"/>
        </w:numPr>
        <w:spacing w:after="0" w:line="240" w:lineRule="auto"/>
        <w:contextualSpacing/>
        <w:rPr>
          <w:rFonts w:eastAsia="Times New Roman" w:cstheme="minorHAnsi"/>
        </w:rPr>
      </w:pPr>
      <w:r w:rsidRPr="00D35281">
        <w:rPr>
          <w:rFonts w:eastAsia="Calibri" w:cstheme="minorHAnsi"/>
        </w:rPr>
        <w:t>comparisons</w:t>
      </w:r>
      <w:r w:rsidRPr="00D35281">
        <w:rPr>
          <w:rFonts w:eastAsia="Times New Roman" w:cstheme="minorHAnsi"/>
        </w:rPr>
        <w:t xml:space="preserve"> to what was expected predicted or vs. a rubric for awareness or knowledge;</w:t>
      </w:r>
    </w:p>
    <w:p w:rsidR="00450D67" w:rsidRPr="00D35281" w:rsidRDefault="00450D67" w:rsidP="00450D67">
      <w:pPr>
        <w:numPr>
          <w:ilvl w:val="0"/>
          <w:numId w:val="14"/>
        </w:numPr>
        <w:spacing w:after="0" w:line="240" w:lineRule="auto"/>
        <w:contextualSpacing/>
        <w:rPr>
          <w:rFonts w:eastAsia="Calibri" w:cstheme="minorHAnsi"/>
        </w:rPr>
      </w:pPr>
      <w:r w:rsidRPr="00D35281">
        <w:rPr>
          <w:rFonts w:eastAsia="Times New Roman" w:cstheme="minorHAnsi"/>
        </w:rPr>
        <w:t xml:space="preserve">frequency of </w:t>
      </w:r>
      <w:r w:rsidRPr="00D35281">
        <w:rPr>
          <w:rFonts w:eastAsia="Calibri" w:cstheme="minorHAnsi"/>
        </w:rPr>
        <w:t>occurrences (e.g. in different samples, or at different times);</w:t>
      </w:r>
    </w:p>
    <w:p w:rsidR="00450D67" w:rsidRPr="00D35281" w:rsidRDefault="00450D67" w:rsidP="00450D67">
      <w:pPr>
        <w:numPr>
          <w:ilvl w:val="0"/>
          <w:numId w:val="14"/>
        </w:numPr>
        <w:spacing w:after="0" w:line="240" w:lineRule="auto"/>
        <w:contextualSpacing/>
        <w:rPr>
          <w:rFonts w:eastAsia="Calibri" w:cstheme="minorHAnsi"/>
        </w:rPr>
      </w:pPr>
      <w:r w:rsidRPr="00D35281">
        <w:rPr>
          <w:rFonts w:eastAsia="Calibri" w:cstheme="minorHAnsi"/>
        </w:rPr>
        <w:t>patterns of co-occurrence (e.g. ‘Boolean operators’, cluster analysis); and,</w:t>
      </w:r>
    </w:p>
    <w:p w:rsidR="00450D67" w:rsidRDefault="00450D67" w:rsidP="00450D67">
      <w:pPr>
        <w:numPr>
          <w:ilvl w:val="0"/>
          <w:numId w:val="14"/>
        </w:numPr>
        <w:spacing w:after="0" w:line="240" w:lineRule="auto"/>
        <w:contextualSpacing/>
        <w:rPr>
          <w:rFonts w:eastAsia="Times New Roman" w:cstheme="minorHAnsi"/>
        </w:rPr>
      </w:pPr>
      <w:r w:rsidRPr="00D35281">
        <w:rPr>
          <w:rFonts w:eastAsia="Calibri" w:cstheme="minorHAnsi"/>
        </w:rPr>
        <w:t>sequence of occurrences</w:t>
      </w:r>
      <w:r w:rsidRPr="00D35281">
        <w:rPr>
          <w:rFonts w:eastAsia="Times New Roman" w:cstheme="minorHAnsi"/>
        </w:rPr>
        <w:t>.</w:t>
      </w:r>
    </w:p>
    <w:p w:rsidR="00450D67" w:rsidRPr="00450D67" w:rsidRDefault="00450D67" w:rsidP="00450D67">
      <w:pPr>
        <w:spacing w:after="0" w:line="240" w:lineRule="auto"/>
        <w:ind w:left="720"/>
        <w:contextualSpacing/>
        <w:rPr>
          <w:rFonts w:eastAsia="Times New Roman" w:cstheme="minorHAnsi"/>
        </w:rPr>
      </w:pPr>
    </w:p>
    <w:p w:rsidR="00450D67" w:rsidRPr="00D35281" w:rsidRDefault="00450D67" w:rsidP="00450D67">
      <w:pPr>
        <w:rPr>
          <w:rFonts w:eastAsia="Calibri" w:cstheme="minorHAnsi"/>
        </w:rPr>
      </w:pPr>
      <w:r w:rsidRPr="00D35281">
        <w:rPr>
          <w:rFonts w:eastAsia="Calibri" w:cstheme="minorHAnsi"/>
        </w:rPr>
        <w:t>In the case of SIU initiatives meeting records or correspondence with a respondent (could be a target operator or a desired intermediary or partner) coding could be performed  according to a rubric such as 0 = no knowledge of specific opportunities, 1 = knows of the opportunity’s existence but not aware of key practice requirements, 2 = displays knowledge of some basic requirements, 3 = shows complete or near complete knowledge of opportunities and requirements in the context of the topics discussed.</w:t>
      </w:r>
    </w:p>
    <w:p w:rsidR="00450D67" w:rsidRPr="00450D67" w:rsidRDefault="00450D67" w:rsidP="00450D67">
      <w:pPr>
        <w:rPr>
          <w:rFonts w:eastAsia="Times New Roman" w:cstheme="minorHAnsi"/>
        </w:rPr>
      </w:pPr>
      <w:r w:rsidRPr="00D35281">
        <w:rPr>
          <w:rFonts w:eastAsia="Calibri" w:cstheme="minorHAnsi"/>
          <w:b/>
        </w:rPr>
        <w:t>Survey Conduct / Interpretation:</w:t>
      </w:r>
      <w:r w:rsidRPr="00D35281">
        <w:rPr>
          <w:rFonts w:eastAsia="Calibri" w:cstheme="minorHAnsi"/>
        </w:rPr>
        <w:t xml:space="preserve">  </w:t>
      </w:r>
      <w:r w:rsidRPr="00D35281">
        <w:rPr>
          <w:rFonts w:eastAsia="Times New Roman" w:cstheme="minorHAnsi"/>
        </w:rPr>
        <w:t xml:space="preserve">The basic definition of a survey is </w:t>
      </w:r>
      <w:r w:rsidRPr="00D35281">
        <w:rPr>
          <w:rFonts w:eastAsia="Times New Roman"/>
        </w:rPr>
        <w:t>to ask (many people) a question or a series of questions in order to gather information about what most people do or think about something. In this case there may be surveys applied to some aspects of SIU projects. Most likely the questions would relate to implementation and performance issue areas. In the case of this evaluation a survey may be applied where it is not economical to interview people and the level of questions inv</w:t>
      </w:r>
      <w:r>
        <w:rPr>
          <w:rFonts w:eastAsia="Times New Roman"/>
        </w:rPr>
        <w:t>olved will be relatively basic.</w:t>
      </w:r>
    </w:p>
    <w:p w:rsidR="00450D67" w:rsidRPr="00D35281" w:rsidRDefault="00450D67" w:rsidP="00450D67">
      <w:pPr>
        <w:rPr>
          <w:rFonts w:eastAsia="Calibri" w:cstheme="minorHAnsi"/>
        </w:rPr>
      </w:pPr>
      <w:r w:rsidRPr="00D35281">
        <w:rPr>
          <w:rFonts w:eastAsia="Calibri" w:cstheme="minorHAnsi"/>
          <w:b/>
        </w:rPr>
        <w:t>Interview Usage / Interpretation:</w:t>
      </w:r>
      <w:r w:rsidRPr="00D35281">
        <w:rPr>
          <w:rFonts w:eastAsia="Calibri" w:cstheme="minorHAnsi"/>
        </w:rPr>
        <w:t xml:space="preserve">  Interviews involve more intensive consultations with people than surveys and can be relatively structured or unstructured. In this case interviews will be used to in some cases directly address issues (likely for relevance, implementation and performance) from key stakeholders who are knowledgeable about the relevant area being addressed.  Due to the fact that interviews are time intensive, best efforts will be made to be selective and focused (i.e. at least semi-structured) in conducting interviews for an evaluation of SIU. </w:t>
      </w:r>
    </w:p>
    <w:p w:rsidR="00450D67" w:rsidRPr="00D35281" w:rsidRDefault="00450D67" w:rsidP="00450D67">
      <w:pPr>
        <w:rPr>
          <w:rFonts w:eastAsia="Calibri" w:cstheme="minorHAnsi"/>
        </w:rPr>
      </w:pPr>
      <w:r w:rsidRPr="00D35281">
        <w:rPr>
          <w:rFonts w:eastAsia="Calibri" w:cstheme="minorHAnsi"/>
          <w:b/>
        </w:rPr>
        <w:t>Service blueprinting:</w:t>
      </w:r>
      <w:r w:rsidRPr="00D35281">
        <w:rPr>
          <w:rFonts w:eastAsia="Calibri" w:cstheme="minorHAnsi"/>
        </w:rPr>
        <w:t xml:space="preserve">  Service blue printing is a form of process mapping which distinctly shows the processes of an initiative, service or function while clearly showing the clients and users from the various parties involved in delivery. This method has been found useful in following circumstances: </w:t>
      </w:r>
    </w:p>
    <w:p w:rsidR="00450D67" w:rsidRPr="00D35281" w:rsidRDefault="00450D67" w:rsidP="00450D67">
      <w:pPr>
        <w:numPr>
          <w:ilvl w:val="0"/>
          <w:numId w:val="14"/>
        </w:numPr>
        <w:spacing w:after="0" w:line="240" w:lineRule="auto"/>
        <w:contextualSpacing/>
        <w:rPr>
          <w:rFonts w:eastAsia="Calibri" w:cstheme="minorHAnsi"/>
        </w:rPr>
      </w:pPr>
      <w:r w:rsidRPr="00D35281">
        <w:rPr>
          <w:rFonts w:eastAsia="Calibri" w:cstheme="minorHAnsi"/>
        </w:rPr>
        <w:t xml:space="preserve">providing a bird’s eye view of a program’s inner workings; and, </w:t>
      </w:r>
    </w:p>
    <w:p w:rsidR="00450D67" w:rsidRDefault="00450D67" w:rsidP="00450D67">
      <w:pPr>
        <w:numPr>
          <w:ilvl w:val="0"/>
          <w:numId w:val="14"/>
        </w:numPr>
        <w:spacing w:after="0" w:line="240" w:lineRule="auto"/>
        <w:contextualSpacing/>
        <w:rPr>
          <w:rFonts w:eastAsia="Calibri" w:cstheme="minorHAnsi"/>
        </w:rPr>
      </w:pPr>
      <w:r w:rsidRPr="00D35281">
        <w:rPr>
          <w:rFonts w:eastAsia="Calibri" w:cstheme="minorHAnsi"/>
        </w:rPr>
        <w:t>for complex operating environments – a services blueprint (process map) approach can show more clearly the activities of a program that can be challenging to understand, follow and assess with respect to client and user reach, points of communication (moments of truth), effectiveness, efficiency and economy.</w:t>
      </w:r>
    </w:p>
    <w:p w:rsidR="00450D67" w:rsidRPr="00450D67" w:rsidRDefault="00450D67" w:rsidP="00450D67">
      <w:pPr>
        <w:spacing w:after="0" w:line="240" w:lineRule="auto"/>
        <w:ind w:left="720"/>
        <w:contextualSpacing/>
        <w:rPr>
          <w:rFonts w:eastAsia="Calibri" w:cstheme="minorHAnsi"/>
        </w:rPr>
      </w:pPr>
    </w:p>
    <w:p w:rsidR="00450D67" w:rsidRPr="00450D67" w:rsidRDefault="00450D67" w:rsidP="00450D67">
      <w:pPr>
        <w:rPr>
          <w:rFonts w:eastAsia="Calibri" w:cstheme="minorHAnsi"/>
        </w:rPr>
      </w:pPr>
      <w:r w:rsidRPr="00D35281">
        <w:rPr>
          <w:rFonts w:eastAsia="Calibri" w:cstheme="minorHAnsi"/>
        </w:rPr>
        <w:t xml:space="preserve">In the case of the SIU various project systems for delivery and for reporting could be examined. </w:t>
      </w:r>
    </w:p>
    <w:p w:rsidR="00450D67" w:rsidRPr="00F7196A" w:rsidRDefault="00450D67" w:rsidP="00450D67">
      <w:pPr>
        <w:rPr>
          <w:rFonts w:asciiTheme="majorHAnsi" w:eastAsia="Calibri" w:hAnsiTheme="majorHAnsi" w:cstheme="minorHAnsi"/>
          <w:sz w:val="24"/>
          <w:szCs w:val="24"/>
        </w:rPr>
      </w:pPr>
      <w:r w:rsidRPr="00D35281">
        <w:rPr>
          <w:rFonts w:eastAsia="Calibri" w:cstheme="minorHAnsi"/>
          <w:b/>
        </w:rPr>
        <w:lastRenderedPageBreak/>
        <w:t>Web analytics:</w:t>
      </w:r>
      <w:r w:rsidRPr="00D35281">
        <w:rPr>
          <w:rFonts w:eastAsia="Calibri" w:cstheme="minorHAnsi"/>
        </w:rPr>
        <w:t xml:space="preserve">  </w:t>
      </w:r>
      <w:r w:rsidRPr="00D35281">
        <w:rPr>
          <w:rFonts w:cstheme="minorHAnsi"/>
          <w:bCs/>
          <w:color w:val="222222"/>
        </w:rPr>
        <w:t>Web Analytics</w:t>
      </w:r>
      <w:r w:rsidRPr="00D35281">
        <w:rPr>
          <w:rFonts w:cstheme="minorHAnsi"/>
          <w:color w:val="222222"/>
        </w:rPr>
        <w:t xml:space="preserve"> involves the measurement, collection, analysis and reporting of internet data for the purposes of understanding (and optimizing) </w:t>
      </w:r>
      <w:r w:rsidRPr="00D35281">
        <w:rPr>
          <w:rFonts w:cstheme="minorHAnsi"/>
          <w:bCs/>
          <w:color w:val="222222"/>
        </w:rPr>
        <w:t>Web</w:t>
      </w:r>
      <w:r w:rsidRPr="00D35281">
        <w:rPr>
          <w:rFonts w:cstheme="minorHAnsi"/>
          <w:color w:val="222222"/>
        </w:rPr>
        <w:t xml:space="preserve"> usage. In the case of the SIU it may be useful in providing insights into where key parts of SIU project initiatives are being most used, by whom and in some areas for what.  There may also be ways to note the relative network being created via people and groups connecting </w:t>
      </w:r>
      <w:r w:rsidRPr="00F7196A">
        <w:rPr>
          <w:rFonts w:cstheme="minorHAnsi"/>
          <w:color w:val="222222"/>
        </w:rPr>
        <w:t>in this way.</w:t>
      </w:r>
    </w:p>
    <w:p w:rsidR="00450D67" w:rsidRPr="00F7196A" w:rsidRDefault="00F7196A" w:rsidP="00CE08D2">
      <w:pPr>
        <w:rPr>
          <w:rFonts w:asciiTheme="majorHAnsi" w:hAnsiTheme="majorHAnsi"/>
          <w:sz w:val="24"/>
          <w:szCs w:val="24"/>
        </w:rPr>
      </w:pPr>
      <w:r w:rsidRPr="00F7196A">
        <w:rPr>
          <w:rFonts w:asciiTheme="majorHAnsi" w:hAnsiTheme="majorHAnsi"/>
          <w:sz w:val="24"/>
          <w:szCs w:val="24"/>
        </w:rPr>
        <w:t>4.9 FURTHER INFORMATION</w:t>
      </w:r>
      <w:r>
        <w:rPr>
          <w:rFonts w:asciiTheme="majorHAnsi" w:hAnsiTheme="majorHAnsi"/>
          <w:sz w:val="24"/>
          <w:szCs w:val="24"/>
        </w:rPr>
        <w:t xml:space="preserve"> &amp; GUIDANCE </w:t>
      </w:r>
      <w:r>
        <w:rPr>
          <w:rFonts w:cstheme="minorHAnsi"/>
          <w:sz w:val="24"/>
          <w:szCs w:val="24"/>
        </w:rPr>
        <w:t>(available separately</w:t>
      </w:r>
      <w:r w:rsidRPr="00F7196A">
        <w:rPr>
          <w:rFonts w:cstheme="minorHAnsi"/>
          <w:sz w:val="24"/>
          <w:szCs w:val="24"/>
        </w:rPr>
        <w:t>)</w:t>
      </w:r>
    </w:p>
    <w:p w:rsidR="00F7196A" w:rsidRDefault="00F7196A" w:rsidP="00F7196A">
      <w:pPr>
        <w:rPr>
          <w:rFonts w:eastAsia="Arial"/>
        </w:rPr>
      </w:pPr>
      <w:r w:rsidRPr="00F7196A">
        <w:rPr>
          <w:b/>
        </w:rPr>
        <w:t>Annex A</w:t>
      </w:r>
      <w:r w:rsidRPr="002F0DC5">
        <w:rPr>
          <w:b/>
        </w:rPr>
        <w:t xml:space="preserve">: </w:t>
      </w:r>
      <w:r w:rsidR="002F0DC5">
        <w:rPr>
          <w:b/>
        </w:rPr>
        <w:t>Definitions, Rubrics &amp; Tools</w:t>
      </w:r>
      <w:r>
        <w:t xml:space="preserve"> - </w:t>
      </w:r>
      <w:r w:rsidRPr="00D35281">
        <w:rPr>
          <w:rFonts w:eastAsia="Arial"/>
        </w:rPr>
        <w:t>This Annex presents furth</w:t>
      </w:r>
      <w:r>
        <w:rPr>
          <w:rFonts w:eastAsia="Arial"/>
        </w:rPr>
        <w:t>er considerations to help with</w:t>
      </w:r>
      <w:r w:rsidRPr="00D35281">
        <w:rPr>
          <w:rFonts w:eastAsia="Arial"/>
        </w:rPr>
        <w:t xml:space="preserve"> performance measurement strategy development</w:t>
      </w:r>
      <w:r>
        <w:rPr>
          <w:rFonts w:eastAsia="Arial"/>
        </w:rPr>
        <w:t xml:space="preserve"> for individual social innovation projects and functions</w:t>
      </w:r>
      <w:r w:rsidRPr="00D35281">
        <w:rPr>
          <w:rFonts w:eastAsia="Arial"/>
        </w:rPr>
        <w:t>.  A number of the performance measurement frequently used terms are defined and described in section A.1.  In section A.2, some rubrics and assessment tools are demonstrated.  Finally in section A.3, an outline for a case study is shown.</w:t>
      </w:r>
    </w:p>
    <w:p w:rsidR="00F7196A" w:rsidRPr="002F0DC5" w:rsidRDefault="00F7196A" w:rsidP="00CE08D2">
      <w:r w:rsidRPr="00F7196A">
        <w:rPr>
          <w:rFonts w:eastAsia="Arial"/>
          <w:b/>
        </w:rPr>
        <w:t>Annex B</w:t>
      </w:r>
      <w:r w:rsidRPr="002F0DC5">
        <w:rPr>
          <w:rFonts w:eastAsia="Arial"/>
          <w:b/>
        </w:rPr>
        <w:t xml:space="preserve">: </w:t>
      </w:r>
      <w:r w:rsidR="002F0DC5">
        <w:rPr>
          <w:rFonts w:eastAsia="Arial"/>
          <w:b/>
        </w:rPr>
        <w:t>Results</w:t>
      </w:r>
      <w:r w:rsidR="002F0DC5" w:rsidRPr="002F0DC5">
        <w:rPr>
          <w:rFonts w:eastAsia="Arial"/>
          <w:b/>
        </w:rPr>
        <w:t xml:space="preserve"> </w:t>
      </w:r>
      <w:r w:rsidR="002F0DC5">
        <w:rPr>
          <w:rFonts w:eastAsia="Arial"/>
          <w:b/>
        </w:rPr>
        <w:t xml:space="preserve">Plan </w:t>
      </w:r>
      <w:r w:rsidR="002F0DC5" w:rsidRPr="002F0DC5">
        <w:rPr>
          <w:rFonts w:eastAsia="Arial"/>
          <w:b/>
        </w:rPr>
        <w:t>Guidance</w:t>
      </w:r>
      <w:r w:rsidR="002F0DC5">
        <w:rPr>
          <w:rFonts w:eastAsia="Arial"/>
        </w:rPr>
        <w:t xml:space="preserve"> -</w:t>
      </w:r>
      <w:r w:rsidRPr="00F7196A">
        <w:rPr>
          <w:rFonts w:eastAsia="Arial"/>
        </w:rPr>
        <w:t xml:space="preserve"> Using a Results Chain for Planning</w:t>
      </w:r>
      <w:r>
        <w:rPr>
          <w:rFonts w:eastAsia="Arial"/>
        </w:rPr>
        <w:t>,</w:t>
      </w:r>
      <w:r w:rsidRPr="00F7196A">
        <w:rPr>
          <w:rFonts w:eastAsia="Arial"/>
        </w:rPr>
        <w:t xml:space="preserve"> Monitoring and Evaluation</w:t>
      </w:r>
      <w:r>
        <w:rPr>
          <w:rFonts w:eastAsia="Arial"/>
        </w:rPr>
        <w:t xml:space="preserve"> – </w:t>
      </w:r>
      <w:r>
        <w:rPr>
          <w:rFonts w:eastAsia="Times New Roman" w:cs="Arial"/>
          <w:bCs/>
          <w:kern w:val="32"/>
          <w:lang w:eastAsia="en-CA"/>
        </w:rPr>
        <w:t xml:space="preserve">This annex provides </w:t>
      </w:r>
      <w:r w:rsidR="002F0DC5">
        <w:rPr>
          <w:rFonts w:eastAsia="Times New Roman" w:cs="Arial"/>
          <w:bCs/>
          <w:kern w:val="32"/>
          <w:lang w:eastAsia="en-CA"/>
        </w:rPr>
        <w:t>practical guidance on</w:t>
      </w:r>
      <w:r w:rsidR="002F0DC5" w:rsidRPr="00D35281">
        <w:rPr>
          <w:rFonts w:eastAsia="Times New Roman" w:cs="Arial"/>
          <w:bCs/>
          <w:kern w:val="32"/>
          <w:lang w:eastAsia="en-CA"/>
        </w:rPr>
        <w:t xml:space="preserve"> how a results planning approach can be used</w:t>
      </w:r>
      <w:r w:rsidR="002F0DC5">
        <w:rPr>
          <w:rFonts w:eastAsia="Times New Roman" w:cs="Arial"/>
          <w:bCs/>
          <w:kern w:val="32"/>
          <w:lang w:eastAsia="en-CA"/>
        </w:rPr>
        <w:t xml:space="preserve"> to describe the context or area of focus</w:t>
      </w:r>
      <w:r w:rsidR="002F0DC5" w:rsidRPr="00D35281">
        <w:rPr>
          <w:rFonts w:eastAsia="Times New Roman" w:cs="Arial"/>
          <w:bCs/>
          <w:kern w:val="32"/>
          <w:lang w:eastAsia="en-CA"/>
        </w:rPr>
        <w:t xml:space="preserve">, </w:t>
      </w:r>
      <w:r w:rsidR="002F0DC5">
        <w:rPr>
          <w:rFonts w:eastAsia="Times New Roman" w:cs="Arial"/>
          <w:bCs/>
          <w:kern w:val="32"/>
          <w:lang w:eastAsia="en-CA"/>
        </w:rPr>
        <w:t xml:space="preserve">the alignment of inputs and activities </w:t>
      </w:r>
      <w:r w:rsidR="002F0DC5" w:rsidRPr="00D35281">
        <w:rPr>
          <w:rFonts w:eastAsia="Times New Roman" w:cs="Arial"/>
          <w:bCs/>
          <w:kern w:val="32"/>
          <w:lang w:eastAsia="en-CA"/>
        </w:rPr>
        <w:t>to reach and influence key system actors leading to ultimate ben</w:t>
      </w:r>
      <w:r w:rsidR="002F0DC5">
        <w:rPr>
          <w:rFonts w:eastAsia="Times New Roman" w:cs="Arial"/>
          <w:bCs/>
          <w:kern w:val="32"/>
          <w:lang w:eastAsia="en-CA"/>
        </w:rPr>
        <w:t>efits or long range outcome</w:t>
      </w:r>
      <w:r w:rsidR="002F0DC5" w:rsidRPr="00D35281">
        <w:rPr>
          <w:rFonts w:eastAsia="Times New Roman" w:cs="Arial"/>
          <w:bCs/>
          <w:kern w:val="32"/>
          <w:lang w:eastAsia="en-CA"/>
        </w:rPr>
        <w:t xml:space="preserve">s, and a means to show progress </w:t>
      </w:r>
      <w:r w:rsidR="002F0DC5">
        <w:rPr>
          <w:rFonts w:eastAsia="Times New Roman" w:cs="Arial"/>
          <w:bCs/>
          <w:kern w:val="32"/>
          <w:lang w:eastAsia="en-CA"/>
        </w:rPr>
        <w:t>and demonstrate value.</w:t>
      </w:r>
      <w:r w:rsidR="002F0DC5">
        <w:t xml:space="preserve"> </w:t>
      </w:r>
      <w:r>
        <w:rPr>
          <w:rFonts w:eastAsia="Times New Roman" w:cs="Arial"/>
          <w:bCs/>
          <w:kern w:val="32"/>
          <w:lang w:eastAsia="en-CA"/>
        </w:rPr>
        <w:t xml:space="preserve">The </w:t>
      </w:r>
      <w:r w:rsidRPr="00D35281">
        <w:rPr>
          <w:rFonts w:eastAsia="Times New Roman" w:cs="Arial"/>
          <w:bCs/>
          <w:kern w:val="32"/>
          <w:lang w:eastAsia="en-CA"/>
        </w:rPr>
        <w:t>guidance also displays a menu of measures which may be used to help to track progress. Note the approach can be applied at a program, project or specific initiative level. It also has the feature of being easily open to adaptation over time (i.e. it can be used for actual work planning).</w:t>
      </w:r>
    </w:p>
    <w:sectPr w:rsidR="00F7196A" w:rsidRPr="002F0DC5" w:rsidSect="005B647C">
      <w:footerReference w:type="default" r:id="rId18"/>
      <w:pgSz w:w="15840" w:h="12240" w:orient="landscape"/>
      <w:pgMar w:top="1077" w:right="1077" w:bottom="1077" w:left="1077"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9E0" w:rsidRDefault="00A729E0">
      <w:pPr>
        <w:spacing w:after="0" w:line="240" w:lineRule="auto"/>
      </w:pPr>
      <w:r>
        <w:separator/>
      </w:r>
    </w:p>
  </w:endnote>
  <w:endnote w:type="continuationSeparator" w:id="0">
    <w:p w:rsidR="00A729E0" w:rsidRDefault="00A72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Dotum">
    <w:altName w:val="돋움"/>
    <w:panose1 w:val="020B0600000101010101"/>
    <w:charset w:val="81"/>
    <w:family w:val="swiss"/>
    <w:pitch w:val="variable"/>
    <w:sig w:usb0="00000000"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HYGothic-Extra">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Oswa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8605131"/>
      <w:docPartObj>
        <w:docPartGallery w:val="Page Numbers (Bottom of Page)"/>
        <w:docPartUnique/>
      </w:docPartObj>
    </w:sdtPr>
    <w:sdtEndPr>
      <w:rPr>
        <w:noProof/>
      </w:rPr>
    </w:sdtEndPr>
    <w:sdtContent>
      <w:p w:rsidR="00AE1ABC" w:rsidRDefault="00AE1ABC">
        <w:pPr>
          <w:pStyle w:val="Footer"/>
          <w:jc w:val="right"/>
        </w:pPr>
        <w:r>
          <w:fldChar w:fldCharType="begin"/>
        </w:r>
        <w:r>
          <w:instrText xml:space="preserve"> PAGE   \* MERGEFORMAT </w:instrText>
        </w:r>
        <w:r>
          <w:fldChar w:fldCharType="separate"/>
        </w:r>
        <w:r w:rsidR="00025D32">
          <w:rPr>
            <w:noProof/>
          </w:rPr>
          <w:t>1</w:t>
        </w:r>
        <w:r>
          <w:rPr>
            <w:noProof/>
          </w:rPr>
          <w:fldChar w:fldCharType="end"/>
        </w:r>
      </w:p>
    </w:sdtContent>
  </w:sdt>
  <w:p w:rsidR="00AE1ABC" w:rsidRDefault="00AE1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9E0" w:rsidRDefault="00A729E0">
      <w:pPr>
        <w:spacing w:after="0" w:line="240" w:lineRule="auto"/>
      </w:pPr>
      <w:r>
        <w:separator/>
      </w:r>
    </w:p>
  </w:footnote>
  <w:footnote w:type="continuationSeparator" w:id="0">
    <w:p w:rsidR="00A729E0" w:rsidRDefault="00A729E0">
      <w:pPr>
        <w:spacing w:after="0" w:line="240" w:lineRule="auto"/>
      </w:pPr>
      <w:r>
        <w:continuationSeparator/>
      </w:r>
    </w:p>
  </w:footnote>
  <w:footnote w:id="1">
    <w:p w:rsidR="00AE1ABC" w:rsidRPr="00AB04BB" w:rsidRDefault="00AE1ABC" w:rsidP="00214EB9">
      <w:pPr>
        <w:pStyle w:val="FootnoteText"/>
        <w:jc w:val="left"/>
        <w:rPr>
          <w:rFonts w:cs="Arial"/>
          <w:sz w:val="16"/>
          <w:szCs w:val="16"/>
        </w:rPr>
      </w:pPr>
      <w:r w:rsidRPr="00AB04BB">
        <w:rPr>
          <w:rStyle w:val="FootnoteReference"/>
          <w:rFonts w:cs="Arial"/>
          <w:sz w:val="16"/>
          <w:szCs w:val="16"/>
        </w:rPr>
        <w:footnoteRef/>
      </w:r>
      <w:r w:rsidRPr="00AB04BB">
        <w:rPr>
          <w:rFonts w:cs="Arial"/>
          <w:sz w:val="16"/>
          <w:szCs w:val="16"/>
        </w:rPr>
        <w:t xml:space="preserve"> Michael Quinn Patton defines developmental evaluation as an approach that assists social innovators develop social change initiatives in complex or uncertain environments.  This is the context (almost by definition) for the Social Innovation Unit.  The developmental evaluation approach is context sensitive and adoptive.  This means that while the tasks outlined here are expected activities at this time, there will almost certainly be some variances in efforts as a result of emergent observations and developments. </w:t>
      </w:r>
    </w:p>
  </w:footnote>
  <w:footnote w:id="2">
    <w:p w:rsidR="00AE1ABC" w:rsidRPr="00D92355" w:rsidRDefault="00AE1ABC" w:rsidP="00214EB9">
      <w:pPr>
        <w:pStyle w:val="FootnoteText"/>
        <w:jc w:val="left"/>
        <w:rPr>
          <w:sz w:val="16"/>
          <w:szCs w:val="16"/>
          <w:lang w:val="en-US"/>
        </w:rPr>
      </w:pPr>
      <w:r w:rsidRPr="00773D9F">
        <w:rPr>
          <w:rStyle w:val="FootnoteReference"/>
          <w:sz w:val="16"/>
          <w:szCs w:val="16"/>
        </w:rPr>
        <w:footnoteRef/>
      </w:r>
      <w:r w:rsidRPr="00773D9F">
        <w:rPr>
          <w:sz w:val="16"/>
          <w:szCs w:val="16"/>
        </w:rPr>
        <w:t xml:space="preserve"> </w:t>
      </w:r>
      <w:r w:rsidRPr="00D92355">
        <w:rPr>
          <w:sz w:val="16"/>
          <w:szCs w:val="16"/>
        </w:rPr>
        <w:t>Accountability is still a key part of developmental evaluation; however, accountability priorities shift from supporting oversight to supporting learning and impact.</w:t>
      </w:r>
    </w:p>
  </w:footnote>
  <w:footnote w:id="3">
    <w:p w:rsidR="00AE1ABC" w:rsidRPr="003D5B01" w:rsidRDefault="00AE1ABC" w:rsidP="00214EB9">
      <w:pPr>
        <w:rPr>
          <w:rFonts w:cstheme="minorHAnsi"/>
          <w:sz w:val="16"/>
          <w:szCs w:val="16"/>
        </w:rPr>
      </w:pPr>
      <w:r w:rsidRPr="003D5B01">
        <w:rPr>
          <w:rStyle w:val="FootnoteReference"/>
          <w:rFonts w:cstheme="minorHAnsi"/>
          <w:sz w:val="16"/>
          <w:szCs w:val="16"/>
        </w:rPr>
        <w:footnoteRef/>
      </w:r>
      <w:r w:rsidRPr="003D5B01">
        <w:rPr>
          <w:rFonts w:cstheme="minorHAnsi"/>
          <w:sz w:val="16"/>
          <w:szCs w:val="16"/>
        </w:rPr>
        <w:t xml:space="preserve"> </w:t>
      </w:r>
      <w:r w:rsidRPr="003D5B01">
        <w:rPr>
          <w:rFonts w:eastAsia="Calibri" w:cstheme="minorHAnsi"/>
          <w:sz w:val="16"/>
          <w:szCs w:val="16"/>
        </w:rPr>
        <w:t>Ackoff, R. L., "From Data to Wisdom", Journal of Applies Systems Analysis, Volume 16, 1989 p 3-9.</w:t>
      </w:r>
    </w:p>
  </w:footnote>
  <w:footnote w:id="4">
    <w:p w:rsidR="00AE1ABC" w:rsidRPr="00844D06" w:rsidRDefault="00AE1ABC" w:rsidP="00214EB9">
      <w:pPr>
        <w:pStyle w:val="FootnoteText"/>
        <w:rPr>
          <w:sz w:val="14"/>
          <w:szCs w:val="14"/>
          <w:lang w:val="en-US"/>
        </w:rPr>
      </w:pPr>
      <w:r w:rsidRPr="00844D06">
        <w:rPr>
          <w:rStyle w:val="FootnoteReference"/>
          <w:rFonts w:asciiTheme="minorHAnsi" w:hAnsiTheme="minorHAnsi" w:cstheme="minorHAnsi"/>
          <w:sz w:val="14"/>
          <w:szCs w:val="14"/>
        </w:rPr>
        <w:footnoteRef/>
      </w:r>
      <w:r w:rsidRPr="00844D06">
        <w:rPr>
          <w:rFonts w:asciiTheme="minorHAnsi" w:hAnsiTheme="minorHAnsi" w:cstheme="minorHAnsi"/>
          <w:sz w:val="14"/>
          <w:szCs w:val="14"/>
        </w:rPr>
        <w:t xml:space="preserve"> See for example Funnell and Rogers (2011) The authors earliest found results chain logic was in fact done by Suchman (1967) who codified a results chain demonstrating how the production of information was intended to reach and influence persons in tobacco control. The theory of reasoned action and planned behavior espoused by Fishbein and Ajzen (1980), is also seen in the stages of change theory from psychology (Prochaska and DiClemente 1983) who note pre-contemplation, contemplation, preparation, action and maintenance as behaviours. These theories have further evolved to include further cognitive processes – such as weighing the pros and cons of a decision etc. The criticism of these theories is that they focus on individual rational decision-making, ignoring socio-ecological components and the iterative and interactive effects of engagement processes.</w:t>
      </w:r>
    </w:p>
  </w:footnote>
  <w:footnote w:id="5">
    <w:p w:rsidR="00AE1ABC" w:rsidRPr="003D5B01" w:rsidRDefault="00AE1ABC" w:rsidP="00214EB9">
      <w:pPr>
        <w:pStyle w:val="FootnoteText"/>
        <w:rPr>
          <w:sz w:val="16"/>
          <w:szCs w:val="16"/>
          <w:lang w:val="en-US"/>
        </w:rPr>
      </w:pPr>
      <w:r w:rsidRPr="00844D06">
        <w:rPr>
          <w:rStyle w:val="FootnoteReference"/>
          <w:sz w:val="14"/>
          <w:szCs w:val="14"/>
        </w:rPr>
        <w:footnoteRef/>
      </w:r>
      <w:r w:rsidRPr="00844D06">
        <w:rPr>
          <w:sz w:val="14"/>
          <w:szCs w:val="14"/>
        </w:rPr>
        <w:t xml:space="preserve"> </w:t>
      </w:r>
      <w:r w:rsidRPr="00844D06">
        <w:rPr>
          <w:sz w:val="14"/>
          <w:szCs w:val="14"/>
          <w:lang w:val="en-US"/>
        </w:rPr>
        <w:t xml:space="preserve">Rogers, E. (2003) </w:t>
      </w:r>
      <w:r w:rsidRPr="00844D06">
        <w:rPr>
          <w:sz w:val="14"/>
          <w:szCs w:val="14"/>
          <w:u w:val="single"/>
          <w:lang w:val="en-US"/>
        </w:rPr>
        <w:t>Diffusion of Innovations</w:t>
      </w:r>
      <w:r w:rsidRPr="00844D06">
        <w:rPr>
          <w:sz w:val="14"/>
          <w:szCs w:val="14"/>
          <w:lang w:val="en-US"/>
        </w:rPr>
        <w:t xml:space="preserve"> (5</w:t>
      </w:r>
      <w:r w:rsidRPr="00844D06">
        <w:rPr>
          <w:sz w:val="14"/>
          <w:szCs w:val="14"/>
          <w:vertAlign w:val="superscript"/>
          <w:lang w:val="en-US"/>
        </w:rPr>
        <w:t>th</w:t>
      </w:r>
      <w:r w:rsidRPr="00844D06">
        <w:rPr>
          <w:sz w:val="14"/>
          <w:szCs w:val="14"/>
          <w:lang w:val="en-US"/>
        </w:rPr>
        <w:t xml:space="preserve"> Edition) Free Press</w:t>
      </w:r>
    </w:p>
  </w:footnote>
  <w:footnote w:id="6">
    <w:p w:rsidR="00AE1ABC" w:rsidRPr="00C4080F" w:rsidRDefault="00AE1ABC" w:rsidP="00214EB9">
      <w:pPr>
        <w:pStyle w:val="FootnoteText"/>
        <w:rPr>
          <w:sz w:val="16"/>
          <w:szCs w:val="16"/>
          <w:lang w:val="en-US"/>
        </w:rPr>
      </w:pPr>
      <w:r w:rsidRPr="00C4080F">
        <w:rPr>
          <w:rStyle w:val="FootnoteReference"/>
          <w:sz w:val="16"/>
          <w:szCs w:val="16"/>
        </w:rPr>
        <w:footnoteRef/>
      </w:r>
      <w:r w:rsidRPr="00C4080F">
        <w:rPr>
          <w:sz w:val="16"/>
          <w:szCs w:val="16"/>
        </w:rPr>
        <w:t xml:space="preserve"> Further more recent analysis suggests that the capacity, the opportunity and the motivation of target groups can profoundly explain adoption.  See Mayne 2017) drawing on Michie, Stralen and West (2011)</w:t>
      </w:r>
    </w:p>
  </w:footnote>
  <w:footnote w:id="7">
    <w:p w:rsidR="00AE1ABC" w:rsidRPr="0078189E" w:rsidRDefault="00AE1ABC" w:rsidP="00214EB9">
      <w:pPr>
        <w:pStyle w:val="FootnoteText"/>
        <w:rPr>
          <w:sz w:val="16"/>
          <w:szCs w:val="16"/>
          <w:lang w:val="en-US"/>
        </w:rPr>
      </w:pPr>
      <w:r w:rsidRPr="0078189E">
        <w:rPr>
          <w:rStyle w:val="FootnoteReference"/>
          <w:sz w:val="16"/>
          <w:szCs w:val="16"/>
        </w:rPr>
        <w:footnoteRef/>
      </w:r>
      <w:r w:rsidRPr="0078189E">
        <w:rPr>
          <w:sz w:val="16"/>
          <w:szCs w:val="16"/>
        </w:rPr>
        <w:t xml:space="preserve"> See Ottoson and Hawe (2009) in New Directions for Evaluation who show a progression from more passive theories of knowledge diffusion to concepts of transfer and translation which emphasize the notion of engagement and the back and forth effort required by suppliers and users to ‘translate’ information into useable knowledge.</w:t>
      </w:r>
    </w:p>
  </w:footnote>
  <w:footnote w:id="8">
    <w:p w:rsidR="00AE1ABC" w:rsidRPr="005A1152" w:rsidRDefault="00AE1ABC" w:rsidP="00214EB9">
      <w:pPr>
        <w:pStyle w:val="FootnoteText"/>
        <w:rPr>
          <w:sz w:val="16"/>
          <w:szCs w:val="16"/>
          <w:lang w:val="en-US"/>
        </w:rPr>
      </w:pPr>
      <w:r w:rsidRPr="005A1152">
        <w:rPr>
          <w:rStyle w:val="FootnoteReference"/>
          <w:sz w:val="16"/>
          <w:szCs w:val="16"/>
        </w:rPr>
        <w:footnoteRef/>
      </w:r>
      <w:r w:rsidRPr="005A1152">
        <w:rPr>
          <w:sz w:val="16"/>
          <w:szCs w:val="16"/>
        </w:rPr>
        <w:t xml:space="preserve"> The term “Medicine Wheel” was established when stone constructions in the shape of wheels were found on Medicine Mountain.</w:t>
      </w:r>
    </w:p>
  </w:footnote>
  <w:footnote w:id="9">
    <w:p w:rsidR="00AE1ABC" w:rsidRPr="005A1152" w:rsidRDefault="00AE1ABC" w:rsidP="00214EB9">
      <w:pPr>
        <w:pStyle w:val="FootnoteText"/>
        <w:rPr>
          <w:sz w:val="16"/>
          <w:szCs w:val="16"/>
          <w:lang w:val="en-US"/>
        </w:rPr>
      </w:pPr>
      <w:r w:rsidRPr="005A1152">
        <w:rPr>
          <w:rStyle w:val="FootnoteReference"/>
          <w:sz w:val="16"/>
          <w:szCs w:val="16"/>
        </w:rPr>
        <w:footnoteRef/>
      </w:r>
      <w:r w:rsidRPr="005A1152">
        <w:rPr>
          <w:sz w:val="16"/>
          <w:szCs w:val="16"/>
        </w:rPr>
        <w:t>K. Absolon, Building Health From the Medicine Wheel: Aboriginal program development. Paper presented at the meeting of the Native Physician’s Association (Winnipeg, Manitoba, March 1994).</w:t>
      </w:r>
    </w:p>
  </w:footnote>
  <w:footnote w:id="10">
    <w:p w:rsidR="00AE1ABC" w:rsidRPr="005A1152" w:rsidRDefault="00AE1ABC" w:rsidP="00214EB9">
      <w:pPr>
        <w:pStyle w:val="FootnoteText"/>
        <w:rPr>
          <w:sz w:val="16"/>
          <w:szCs w:val="16"/>
          <w:lang w:val="en-US"/>
        </w:rPr>
      </w:pPr>
      <w:r w:rsidRPr="005A1152">
        <w:rPr>
          <w:rStyle w:val="FootnoteReference"/>
          <w:sz w:val="16"/>
          <w:szCs w:val="16"/>
        </w:rPr>
        <w:footnoteRef/>
      </w:r>
      <w:r w:rsidRPr="005A1152">
        <w:rPr>
          <w:sz w:val="16"/>
          <w:szCs w:val="16"/>
        </w:rPr>
        <w:t>Absolon, Building Health From the Medicine Wheel, 18.</w:t>
      </w:r>
    </w:p>
  </w:footnote>
  <w:footnote w:id="11">
    <w:p w:rsidR="00AE1ABC" w:rsidRPr="009D7C82" w:rsidRDefault="00AE1ABC" w:rsidP="00214EB9">
      <w:pPr>
        <w:pStyle w:val="FootnoteText"/>
        <w:rPr>
          <w:sz w:val="16"/>
          <w:szCs w:val="16"/>
          <w:lang w:val="en-US"/>
        </w:rPr>
      </w:pPr>
      <w:r w:rsidRPr="009D7C82">
        <w:rPr>
          <w:rStyle w:val="FootnoteReference"/>
          <w:sz w:val="16"/>
          <w:szCs w:val="16"/>
        </w:rPr>
        <w:footnoteRef/>
      </w:r>
      <w:r w:rsidRPr="009D7C82">
        <w:rPr>
          <w:sz w:val="16"/>
          <w:szCs w:val="16"/>
        </w:rPr>
        <w:t xml:space="preserve"> F. J. Graveline, Circle Works: Transforming Eurocentric consciousness (Halifax, NS: Fernwood Publishing, 1998), 182.</w:t>
      </w:r>
    </w:p>
  </w:footnote>
  <w:footnote w:id="12">
    <w:p w:rsidR="00AE1ABC" w:rsidRPr="009D7C82" w:rsidRDefault="00AE1ABC" w:rsidP="00214EB9">
      <w:pPr>
        <w:pStyle w:val="FootnoteText"/>
        <w:rPr>
          <w:sz w:val="16"/>
          <w:szCs w:val="16"/>
          <w:lang w:val="en-US"/>
        </w:rPr>
      </w:pPr>
      <w:r w:rsidRPr="009D7C82">
        <w:rPr>
          <w:rStyle w:val="FootnoteReference"/>
          <w:sz w:val="16"/>
          <w:szCs w:val="16"/>
        </w:rPr>
        <w:footnoteRef/>
      </w:r>
      <w:r w:rsidRPr="009D7C82">
        <w:rPr>
          <w:sz w:val="16"/>
          <w:szCs w:val="16"/>
        </w:rPr>
        <w:t xml:space="preserve"> Dumont in S. Stigelbauer, The Individual is the Community; The Community is the World; Native Elders Talk About What Young People Need to Know. Paper presented at the meeting of the American Educational Research Association (San Francisco, CA, 1992).</w:t>
      </w:r>
    </w:p>
  </w:footnote>
  <w:footnote w:id="13">
    <w:p w:rsidR="00AE1ABC" w:rsidRPr="009D7C82" w:rsidRDefault="00AE1ABC" w:rsidP="00214EB9">
      <w:pPr>
        <w:pStyle w:val="FootnoteText"/>
        <w:rPr>
          <w:sz w:val="16"/>
          <w:szCs w:val="16"/>
          <w:lang w:val="en-US"/>
        </w:rPr>
      </w:pPr>
      <w:r w:rsidRPr="009D7C82">
        <w:rPr>
          <w:rStyle w:val="FootnoteReference"/>
          <w:sz w:val="16"/>
          <w:szCs w:val="16"/>
        </w:rPr>
        <w:footnoteRef/>
      </w:r>
      <w:r w:rsidRPr="009D7C82">
        <w:rPr>
          <w:sz w:val="16"/>
          <w:szCs w:val="16"/>
        </w:rPr>
        <w:t xml:space="preserve"> French in K. Gould, “Feminist Principles and Minority Concerns: Contributions, problems, and solutions,” Affilia 2, no 3 (1987): 18.</w:t>
      </w:r>
    </w:p>
  </w:footnote>
  <w:footnote w:id="14">
    <w:p w:rsidR="00AE1ABC" w:rsidRPr="00F4047D" w:rsidRDefault="00AE1ABC" w:rsidP="00214EB9">
      <w:pPr>
        <w:pStyle w:val="FootnoteText"/>
        <w:rPr>
          <w:lang w:val="en-US"/>
        </w:rPr>
      </w:pPr>
      <w:r w:rsidRPr="009D7C82">
        <w:rPr>
          <w:rStyle w:val="FootnoteReference"/>
          <w:sz w:val="16"/>
          <w:szCs w:val="16"/>
        </w:rPr>
        <w:footnoteRef/>
      </w:r>
      <w:r w:rsidRPr="009D7C82">
        <w:rPr>
          <w:sz w:val="16"/>
          <w:szCs w:val="16"/>
        </w:rPr>
        <w:t xml:space="preserve"> Graveline, Circle Works, 288.</w:t>
      </w:r>
    </w:p>
  </w:footnote>
  <w:footnote w:id="15">
    <w:p w:rsidR="00AE1ABC" w:rsidRPr="00D92355" w:rsidRDefault="00AE1ABC" w:rsidP="00214EB9">
      <w:pPr>
        <w:pStyle w:val="FootnoteText"/>
        <w:jc w:val="left"/>
        <w:rPr>
          <w:sz w:val="16"/>
          <w:szCs w:val="16"/>
          <w:lang w:val="en-US"/>
        </w:rPr>
      </w:pPr>
      <w:r w:rsidRPr="00D92355">
        <w:rPr>
          <w:rStyle w:val="FootnoteReference"/>
          <w:sz w:val="16"/>
          <w:szCs w:val="16"/>
        </w:rPr>
        <w:footnoteRef/>
      </w:r>
      <w:r w:rsidRPr="00D92355">
        <w:rPr>
          <w:sz w:val="16"/>
          <w:szCs w:val="16"/>
        </w:rPr>
        <w:t xml:space="preserve"> Patton, M. Q. (2010). </w:t>
      </w:r>
      <w:r w:rsidRPr="00D92355">
        <w:rPr>
          <w:sz w:val="16"/>
          <w:szCs w:val="16"/>
          <w:u w:val="single"/>
        </w:rPr>
        <w:t>Developmental Evaluation</w:t>
      </w:r>
      <w:r w:rsidRPr="00D92355">
        <w:rPr>
          <w:sz w:val="16"/>
          <w:szCs w:val="16"/>
        </w:rPr>
        <w:t xml:space="preserve"> Guilford Press. </w:t>
      </w:r>
      <w:r>
        <w:rPr>
          <w:sz w:val="16"/>
          <w:szCs w:val="16"/>
        </w:rPr>
        <w:t xml:space="preserve">pg </w:t>
      </w:r>
      <w:r w:rsidRPr="00D92355">
        <w:rPr>
          <w:sz w:val="16"/>
          <w:szCs w:val="16"/>
        </w:rPr>
        <w:t>18 Patton</w:t>
      </w:r>
      <w:r w:rsidRPr="00D92355">
        <w:rPr>
          <w:sz w:val="16"/>
          <w:szCs w:val="16"/>
          <w:lang w:val="en-US"/>
        </w:rPr>
        <w:t xml:space="preserve"> notes the limitations of conventional logic models which he says tend to create a static, fixed and mechanical cause-effect model.  He says such models have significant limitations and distorting effects in complex emergent interventions. </w:t>
      </w:r>
    </w:p>
  </w:footnote>
  <w:footnote w:id="16">
    <w:p w:rsidR="00AE1ABC" w:rsidRPr="009C0D46" w:rsidRDefault="00AE1ABC" w:rsidP="00214EB9">
      <w:pPr>
        <w:pStyle w:val="FootnoteText"/>
        <w:rPr>
          <w:lang w:val="en-US"/>
        </w:rPr>
      </w:pPr>
      <w:r w:rsidRPr="00D92355">
        <w:rPr>
          <w:rStyle w:val="FootnoteReference"/>
          <w:sz w:val="16"/>
          <w:szCs w:val="16"/>
        </w:rPr>
        <w:footnoteRef/>
      </w:r>
      <w:r w:rsidRPr="00D92355">
        <w:rPr>
          <w:sz w:val="16"/>
          <w:szCs w:val="16"/>
        </w:rPr>
        <w:t xml:space="preserve"> See John Mayne The COM-B Theory of Change Model, Working Paper, 2017 where he notes the Bennett hierarchy and its use in evaluation as an exception to the general practice that logic models do not make use of behavior change theory.</w:t>
      </w:r>
    </w:p>
  </w:footnote>
  <w:footnote w:id="17">
    <w:p w:rsidR="00AE1ABC" w:rsidRPr="00B15D1F" w:rsidRDefault="00AE1ABC" w:rsidP="00214EB9">
      <w:pPr>
        <w:pStyle w:val="FootnoteText"/>
        <w:rPr>
          <w:sz w:val="16"/>
          <w:szCs w:val="16"/>
          <w:lang w:val="en-US"/>
        </w:rPr>
      </w:pPr>
      <w:r w:rsidRPr="00B15D1F">
        <w:rPr>
          <w:rStyle w:val="FootnoteReference"/>
          <w:sz w:val="16"/>
          <w:szCs w:val="16"/>
        </w:rPr>
        <w:footnoteRef/>
      </w:r>
      <w:r w:rsidRPr="00B15D1F">
        <w:rPr>
          <w:sz w:val="16"/>
          <w:szCs w:val="16"/>
        </w:rPr>
        <w:t xml:space="preserve"> </w:t>
      </w:r>
      <w:r w:rsidRPr="00B15D1F">
        <w:rPr>
          <w:sz w:val="16"/>
          <w:szCs w:val="16"/>
          <w:lang w:val="en-US"/>
        </w:rPr>
        <w:t xml:space="preserve">See Cousins and Bourgeois </w:t>
      </w:r>
      <w:r w:rsidRPr="00B15D1F">
        <w:rPr>
          <w:i/>
          <w:sz w:val="16"/>
          <w:szCs w:val="16"/>
          <w:lang w:val="en-US"/>
        </w:rPr>
        <w:t>Organizational Capacity to Do and Use Evaluation</w:t>
      </w:r>
      <w:r w:rsidRPr="00B15D1F">
        <w:rPr>
          <w:sz w:val="16"/>
          <w:szCs w:val="16"/>
          <w:lang w:val="en-US"/>
        </w:rPr>
        <w:t xml:space="preserve"> </w:t>
      </w:r>
      <w:r w:rsidRPr="00B15D1F">
        <w:rPr>
          <w:sz w:val="16"/>
          <w:szCs w:val="16"/>
          <w:u w:val="single"/>
          <w:lang w:val="en-US"/>
        </w:rPr>
        <w:t>New Directions for Evaluation</w:t>
      </w:r>
      <w:r w:rsidRPr="00B15D1F">
        <w:rPr>
          <w:sz w:val="16"/>
          <w:szCs w:val="16"/>
          <w:lang w:val="en-US"/>
        </w:rPr>
        <w:t xml:space="preserve"> Number 141 Spring 2014 pg 60-67.</w:t>
      </w:r>
    </w:p>
  </w:footnote>
  <w:footnote w:id="18">
    <w:p w:rsidR="00AE1ABC" w:rsidRPr="00842400" w:rsidRDefault="00AE1ABC" w:rsidP="00CE08D2">
      <w:pPr>
        <w:pStyle w:val="FootnoteText"/>
        <w:jc w:val="left"/>
        <w:rPr>
          <w:sz w:val="16"/>
          <w:szCs w:val="16"/>
          <w:lang w:val="en-US"/>
        </w:rPr>
      </w:pPr>
      <w:r w:rsidRPr="00842400">
        <w:rPr>
          <w:rStyle w:val="FootnoteReference"/>
          <w:sz w:val="16"/>
          <w:szCs w:val="16"/>
        </w:rPr>
        <w:footnoteRef/>
      </w:r>
      <w:r w:rsidRPr="00842400">
        <w:rPr>
          <w:sz w:val="16"/>
          <w:szCs w:val="16"/>
        </w:rPr>
        <w:t xml:space="preserve"> Funnell, S. and Rogers, P. (2011) Purposeful Program Theory Effective Use of Theories of Change and Logic Models Jossey-Bass.  pg 217-19. Accountability requisite components include clear roles and responsibilities, clear performance expectations, balanced expectations and capacity, credible reporting and reasonable review and adjustment (see Sager, F. and Andereggen, C.  (2012) Dealing with Complex Causality in Realist Synthesis: The Promise of Qualitative Comparative Analysis American Journal of Evaluation Vol 33 Number 1 March 2012 p</w:t>
      </w:r>
      <w:r>
        <w:rPr>
          <w:sz w:val="16"/>
          <w:szCs w:val="16"/>
        </w:rPr>
        <w:t xml:space="preserve">g </w:t>
      </w:r>
      <w:r w:rsidRPr="00842400">
        <w:rPr>
          <w:sz w:val="16"/>
          <w:szCs w:val="16"/>
        </w:rPr>
        <w:t>60 – 78 and OAG principles for Accountability 2009).</w:t>
      </w:r>
    </w:p>
  </w:footnote>
  <w:footnote w:id="19">
    <w:p w:rsidR="00AE1ABC" w:rsidRPr="00142520" w:rsidRDefault="00AE1ABC" w:rsidP="00CE08D2">
      <w:pPr>
        <w:pStyle w:val="FootnoteText"/>
        <w:rPr>
          <w:sz w:val="16"/>
          <w:szCs w:val="16"/>
          <w:lang w:val="en-US"/>
        </w:rPr>
      </w:pPr>
      <w:r w:rsidRPr="00142520">
        <w:rPr>
          <w:rStyle w:val="FootnoteReference"/>
          <w:sz w:val="16"/>
          <w:szCs w:val="16"/>
        </w:rPr>
        <w:footnoteRef/>
      </w:r>
      <w:r w:rsidRPr="00142520">
        <w:rPr>
          <w:sz w:val="16"/>
          <w:szCs w:val="16"/>
        </w:rPr>
        <w:t xml:space="preserve"> The results logic in this theory of change is derived from Kirkpatrick (1954-1995), Bennett (1979-1995) and the work of Rogers (1995). Further ideas around specific types of influence from research and information products can be derived from those established by Sumner 2009, Steven 2007, Pollard and Court 2005, Portes and Yeo 2001, Mendizabel 2006. See also Funnell and Rogers (2011) pg 356 for the influencing factors related to these areas as well as Sager and Andereggen (2012).</w:t>
      </w:r>
    </w:p>
  </w:footnote>
  <w:footnote w:id="20">
    <w:p w:rsidR="00AE1ABC" w:rsidRPr="00632BE5" w:rsidRDefault="00AE1ABC" w:rsidP="00450D67">
      <w:pPr>
        <w:pStyle w:val="FootnoteText"/>
        <w:rPr>
          <w:sz w:val="16"/>
          <w:szCs w:val="16"/>
          <w:lang w:val="en-US"/>
        </w:rPr>
      </w:pPr>
      <w:r w:rsidRPr="00632BE5">
        <w:rPr>
          <w:rStyle w:val="FootnoteReference"/>
          <w:sz w:val="16"/>
          <w:szCs w:val="16"/>
        </w:rPr>
        <w:footnoteRef/>
      </w:r>
      <w:r w:rsidRPr="00632BE5">
        <w:rPr>
          <w:sz w:val="16"/>
          <w:szCs w:val="16"/>
        </w:rPr>
        <w:t xml:space="preserve"> </w:t>
      </w:r>
      <w:r w:rsidRPr="00632BE5">
        <w:rPr>
          <w:sz w:val="16"/>
          <w:szCs w:val="16"/>
          <w:lang w:val="en-US"/>
        </w:rPr>
        <w:t xml:space="preserve">See Leeuw and Donaldson, Theory in evaluation: Reducing Confucian and encouraging debate </w:t>
      </w:r>
      <w:r w:rsidRPr="00632BE5">
        <w:rPr>
          <w:sz w:val="16"/>
          <w:szCs w:val="16"/>
          <w:u w:val="single"/>
          <w:lang w:val="en-US"/>
        </w:rPr>
        <w:t>Evaluation</w:t>
      </w:r>
      <w:r w:rsidRPr="00632BE5">
        <w:rPr>
          <w:sz w:val="16"/>
          <w:szCs w:val="16"/>
          <w:lang w:val="en-US"/>
        </w:rPr>
        <w:t xml:space="preserve"> October 2015</w:t>
      </w:r>
    </w:p>
  </w:footnote>
  <w:footnote w:id="21">
    <w:p w:rsidR="00AE1ABC" w:rsidRPr="00632BE5" w:rsidRDefault="00AE1ABC" w:rsidP="00450D67">
      <w:pPr>
        <w:pStyle w:val="FootnoteText"/>
        <w:jc w:val="left"/>
        <w:rPr>
          <w:sz w:val="16"/>
          <w:szCs w:val="16"/>
          <w:lang w:val="en-US"/>
        </w:rPr>
      </w:pPr>
      <w:r w:rsidRPr="00632BE5">
        <w:rPr>
          <w:rStyle w:val="FootnoteReference"/>
          <w:sz w:val="16"/>
          <w:szCs w:val="16"/>
        </w:rPr>
        <w:footnoteRef/>
      </w:r>
      <w:r w:rsidRPr="00632BE5">
        <w:rPr>
          <w:sz w:val="16"/>
          <w:szCs w:val="16"/>
        </w:rPr>
        <w:t xml:space="preserve"> </w:t>
      </w:r>
      <w:r w:rsidRPr="00632BE5">
        <w:rPr>
          <w:sz w:val="16"/>
          <w:szCs w:val="16"/>
          <w:lang w:val="en-US"/>
        </w:rPr>
        <w:t xml:space="preserve">See Bamberger </w:t>
      </w:r>
      <w:r w:rsidRPr="00632BE5">
        <w:rPr>
          <w:sz w:val="16"/>
          <w:szCs w:val="16"/>
          <w:u w:val="single"/>
          <w:lang w:val="en-US"/>
        </w:rPr>
        <w:t>Introduction To Mixed Methods Evaluation in Impact Evaluation</w:t>
      </w:r>
      <w:r w:rsidRPr="00632BE5">
        <w:rPr>
          <w:sz w:val="16"/>
          <w:szCs w:val="16"/>
          <w:lang w:val="en-US"/>
        </w:rPr>
        <w:t xml:space="preserve"> InterAct No.</w:t>
      </w:r>
      <w:r>
        <w:rPr>
          <w:sz w:val="16"/>
          <w:szCs w:val="16"/>
          <w:lang w:val="en-US"/>
        </w:rPr>
        <w:t xml:space="preserve"> </w:t>
      </w:r>
      <w:r w:rsidRPr="00632BE5">
        <w:rPr>
          <w:sz w:val="16"/>
          <w:szCs w:val="16"/>
          <w:lang w:val="en-US"/>
        </w:rPr>
        <w:t>3 ,  August 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D6161"/>
    <w:multiLevelType w:val="hybridMultilevel"/>
    <w:tmpl w:val="2F8EC6FC"/>
    <w:lvl w:ilvl="0" w:tplc="C8D884C6">
      <w:start w:val="1"/>
      <w:numFmt w:val="bullet"/>
      <w:lvlText w:val=""/>
      <w:lvlJc w:val="left"/>
      <w:pPr>
        <w:ind w:left="1440" w:hanging="360"/>
      </w:pPr>
      <w:rPr>
        <w:rFonts w:ascii="Symbol" w:hAnsi="Symbol" w:hint="default"/>
        <w:sz w:val="18"/>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160166E8"/>
    <w:multiLevelType w:val="multilevel"/>
    <w:tmpl w:val="5736055E"/>
    <w:lvl w:ilvl="0">
      <w:start w:val="1"/>
      <w:numFmt w:val="bullet"/>
      <w:lvlText w:val="●"/>
      <w:lvlJc w:val="left"/>
      <w:pPr>
        <w:ind w:left="0" w:firstLine="0"/>
      </w:pPr>
      <w:rPr>
        <w:rFonts w:ascii="Arial" w:eastAsia="Arial" w:hAnsi="Arial" w:cs="Arial"/>
      </w:rPr>
    </w:lvl>
    <w:lvl w:ilvl="1">
      <w:start w:val="1"/>
      <w:numFmt w:val="bullet"/>
      <w:lvlText w:val="o"/>
      <w:lvlJc w:val="left"/>
      <w:pPr>
        <w:ind w:left="720" w:firstLine="720"/>
      </w:pPr>
      <w:rPr>
        <w:rFonts w:ascii="Arial" w:eastAsia="Arial" w:hAnsi="Arial" w:cs="Arial"/>
      </w:rPr>
    </w:lvl>
    <w:lvl w:ilvl="2">
      <w:start w:val="1"/>
      <w:numFmt w:val="bullet"/>
      <w:lvlText w:val="▪"/>
      <w:lvlJc w:val="left"/>
      <w:pPr>
        <w:ind w:left="1440" w:firstLine="1440"/>
      </w:pPr>
      <w:rPr>
        <w:rFonts w:ascii="Arial" w:eastAsia="Arial" w:hAnsi="Arial" w:cs="Arial"/>
      </w:rPr>
    </w:lvl>
    <w:lvl w:ilvl="3">
      <w:start w:val="1"/>
      <w:numFmt w:val="bullet"/>
      <w:lvlText w:val="●"/>
      <w:lvlJc w:val="left"/>
      <w:pPr>
        <w:ind w:left="2160" w:firstLine="2160"/>
      </w:pPr>
      <w:rPr>
        <w:rFonts w:ascii="Arial" w:eastAsia="Arial" w:hAnsi="Arial" w:cs="Arial"/>
      </w:rPr>
    </w:lvl>
    <w:lvl w:ilvl="4">
      <w:start w:val="1"/>
      <w:numFmt w:val="bullet"/>
      <w:lvlText w:val="o"/>
      <w:lvlJc w:val="left"/>
      <w:pPr>
        <w:ind w:left="2880" w:firstLine="2880"/>
      </w:pPr>
      <w:rPr>
        <w:rFonts w:ascii="Arial" w:eastAsia="Arial" w:hAnsi="Arial" w:cs="Arial"/>
      </w:rPr>
    </w:lvl>
    <w:lvl w:ilvl="5">
      <w:start w:val="1"/>
      <w:numFmt w:val="bullet"/>
      <w:lvlText w:val="▪"/>
      <w:lvlJc w:val="left"/>
      <w:pPr>
        <w:ind w:left="3600" w:firstLine="3600"/>
      </w:pPr>
      <w:rPr>
        <w:rFonts w:ascii="Arial" w:eastAsia="Arial" w:hAnsi="Arial" w:cs="Arial"/>
      </w:rPr>
    </w:lvl>
    <w:lvl w:ilvl="6">
      <w:start w:val="1"/>
      <w:numFmt w:val="bullet"/>
      <w:lvlText w:val="●"/>
      <w:lvlJc w:val="left"/>
      <w:pPr>
        <w:ind w:left="4320" w:firstLine="4320"/>
      </w:pPr>
      <w:rPr>
        <w:rFonts w:ascii="Arial" w:eastAsia="Arial" w:hAnsi="Arial" w:cs="Arial"/>
      </w:rPr>
    </w:lvl>
    <w:lvl w:ilvl="7">
      <w:start w:val="1"/>
      <w:numFmt w:val="bullet"/>
      <w:lvlText w:val="o"/>
      <w:lvlJc w:val="left"/>
      <w:pPr>
        <w:ind w:left="5040" w:firstLine="5040"/>
      </w:pPr>
      <w:rPr>
        <w:rFonts w:ascii="Arial" w:eastAsia="Arial" w:hAnsi="Arial" w:cs="Arial"/>
      </w:rPr>
    </w:lvl>
    <w:lvl w:ilvl="8">
      <w:start w:val="1"/>
      <w:numFmt w:val="bullet"/>
      <w:lvlText w:val="▪"/>
      <w:lvlJc w:val="left"/>
      <w:pPr>
        <w:ind w:left="5760" w:firstLine="5760"/>
      </w:pPr>
      <w:rPr>
        <w:rFonts w:ascii="Arial" w:eastAsia="Arial" w:hAnsi="Arial" w:cs="Arial"/>
      </w:rPr>
    </w:lvl>
  </w:abstractNum>
  <w:abstractNum w:abstractNumId="2" w15:restartNumberingAfterBreak="0">
    <w:nsid w:val="1997747B"/>
    <w:multiLevelType w:val="hybridMultilevel"/>
    <w:tmpl w:val="C0AAB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34A1E"/>
    <w:multiLevelType w:val="hybridMultilevel"/>
    <w:tmpl w:val="5BECE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0571B1"/>
    <w:multiLevelType w:val="hybridMultilevel"/>
    <w:tmpl w:val="E2545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B2C3644"/>
    <w:multiLevelType w:val="hybridMultilevel"/>
    <w:tmpl w:val="E42E495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BBF402C"/>
    <w:multiLevelType w:val="hybridMultilevel"/>
    <w:tmpl w:val="124C596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BED2278"/>
    <w:multiLevelType w:val="multilevel"/>
    <w:tmpl w:val="1F929A20"/>
    <w:lvl w:ilvl="0">
      <w:start w:val="1"/>
      <w:numFmt w:val="bullet"/>
      <w:lvlText w:val="•"/>
      <w:lvlJc w:val="left"/>
      <w:pPr>
        <w:tabs>
          <w:tab w:val="num" w:pos="360"/>
        </w:tabs>
        <w:ind w:left="360" w:hanging="360"/>
      </w:pPr>
      <w:rPr>
        <w:rFonts w:ascii="Franklin Gothic Medium" w:hAnsi="Franklin Gothic Medium"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1DF4998"/>
    <w:multiLevelType w:val="hybridMultilevel"/>
    <w:tmpl w:val="32487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1740D8"/>
    <w:multiLevelType w:val="multilevel"/>
    <w:tmpl w:val="C8E216E2"/>
    <w:lvl w:ilvl="0">
      <w:start w:val="1"/>
      <w:numFmt w:val="bullet"/>
      <w:lvlText w:val="●"/>
      <w:lvlJc w:val="left"/>
      <w:pPr>
        <w:ind w:left="0" w:firstLine="0"/>
      </w:pPr>
      <w:rPr>
        <w:rFonts w:ascii="Arial" w:eastAsia="Arial" w:hAnsi="Arial" w:cs="Arial"/>
      </w:rPr>
    </w:lvl>
    <w:lvl w:ilvl="1">
      <w:start w:val="1"/>
      <w:numFmt w:val="bullet"/>
      <w:lvlText w:val="o"/>
      <w:lvlJc w:val="left"/>
      <w:pPr>
        <w:ind w:left="720" w:firstLine="720"/>
      </w:pPr>
      <w:rPr>
        <w:rFonts w:ascii="Arial" w:eastAsia="Arial" w:hAnsi="Arial" w:cs="Arial"/>
      </w:rPr>
    </w:lvl>
    <w:lvl w:ilvl="2">
      <w:start w:val="1"/>
      <w:numFmt w:val="bullet"/>
      <w:lvlText w:val="▪"/>
      <w:lvlJc w:val="left"/>
      <w:pPr>
        <w:ind w:left="1440" w:firstLine="1440"/>
      </w:pPr>
      <w:rPr>
        <w:rFonts w:ascii="Arial" w:eastAsia="Arial" w:hAnsi="Arial" w:cs="Arial"/>
      </w:rPr>
    </w:lvl>
    <w:lvl w:ilvl="3">
      <w:start w:val="1"/>
      <w:numFmt w:val="bullet"/>
      <w:lvlText w:val="●"/>
      <w:lvlJc w:val="left"/>
      <w:pPr>
        <w:ind w:left="2160" w:firstLine="2160"/>
      </w:pPr>
      <w:rPr>
        <w:rFonts w:ascii="Arial" w:eastAsia="Arial" w:hAnsi="Arial" w:cs="Arial"/>
      </w:rPr>
    </w:lvl>
    <w:lvl w:ilvl="4">
      <w:start w:val="1"/>
      <w:numFmt w:val="bullet"/>
      <w:lvlText w:val="o"/>
      <w:lvlJc w:val="left"/>
      <w:pPr>
        <w:ind w:left="2880" w:firstLine="2880"/>
      </w:pPr>
      <w:rPr>
        <w:rFonts w:ascii="Arial" w:eastAsia="Arial" w:hAnsi="Arial" w:cs="Arial"/>
      </w:rPr>
    </w:lvl>
    <w:lvl w:ilvl="5">
      <w:start w:val="1"/>
      <w:numFmt w:val="bullet"/>
      <w:lvlText w:val="▪"/>
      <w:lvlJc w:val="left"/>
      <w:pPr>
        <w:ind w:left="3600" w:firstLine="3600"/>
      </w:pPr>
      <w:rPr>
        <w:rFonts w:ascii="Arial" w:eastAsia="Arial" w:hAnsi="Arial" w:cs="Arial"/>
      </w:rPr>
    </w:lvl>
    <w:lvl w:ilvl="6">
      <w:start w:val="1"/>
      <w:numFmt w:val="bullet"/>
      <w:lvlText w:val="●"/>
      <w:lvlJc w:val="left"/>
      <w:pPr>
        <w:ind w:left="4320" w:firstLine="4320"/>
      </w:pPr>
      <w:rPr>
        <w:rFonts w:ascii="Arial" w:eastAsia="Arial" w:hAnsi="Arial" w:cs="Arial"/>
      </w:rPr>
    </w:lvl>
    <w:lvl w:ilvl="7">
      <w:start w:val="1"/>
      <w:numFmt w:val="bullet"/>
      <w:lvlText w:val="o"/>
      <w:lvlJc w:val="left"/>
      <w:pPr>
        <w:ind w:left="5040" w:firstLine="5040"/>
      </w:pPr>
      <w:rPr>
        <w:rFonts w:ascii="Arial" w:eastAsia="Arial" w:hAnsi="Arial" w:cs="Arial"/>
      </w:rPr>
    </w:lvl>
    <w:lvl w:ilvl="8">
      <w:start w:val="1"/>
      <w:numFmt w:val="bullet"/>
      <w:lvlText w:val="▪"/>
      <w:lvlJc w:val="left"/>
      <w:pPr>
        <w:ind w:left="5760" w:firstLine="5760"/>
      </w:pPr>
      <w:rPr>
        <w:rFonts w:ascii="Arial" w:eastAsia="Arial" w:hAnsi="Arial" w:cs="Arial"/>
      </w:rPr>
    </w:lvl>
  </w:abstractNum>
  <w:abstractNum w:abstractNumId="10" w15:restartNumberingAfterBreak="0">
    <w:nsid w:val="46A1646E"/>
    <w:multiLevelType w:val="hybridMultilevel"/>
    <w:tmpl w:val="48FEB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7A7732"/>
    <w:multiLevelType w:val="hybridMultilevel"/>
    <w:tmpl w:val="60CCF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B6E6253"/>
    <w:multiLevelType w:val="multilevel"/>
    <w:tmpl w:val="CA301B24"/>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1CB7B52"/>
    <w:multiLevelType w:val="multilevel"/>
    <w:tmpl w:val="AC9A1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5D41A8"/>
    <w:multiLevelType w:val="hybridMultilevel"/>
    <w:tmpl w:val="258A9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4F173C"/>
    <w:multiLevelType w:val="hybridMultilevel"/>
    <w:tmpl w:val="141243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EC30BC7"/>
    <w:multiLevelType w:val="multilevel"/>
    <w:tmpl w:val="16B43F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C145293"/>
    <w:multiLevelType w:val="hybridMultilevel"/>
    <w:tmpl w:val="11BC9D7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7"/>
  </w:num>
  <w:num w:numId="2">
    <w:abstractNumId w:val="14"/>
  </w:num>
  <w:num w:numId="3">
    <w:abstractNumId w:val="11"/>
  </w:num>
  <w:num w:numId="4">
    <w:abstractNumId w:val="0"/>
  </w:num>
  <w:num w:numId="5">
    <w:abstractNumId w:val="13"/>
  </w:num>
  <w:num w:numId="6">
    <w:abstractNumId w:val="15"/>
  </w:num>
  <w:num w:numId="7">
    <w:abstractNumId w:val="10"/>
  </w:num>
  <w:num w:numId="8">
    <w:abstractNumId w:val="4"/>
  </w:num>
  <w:num w:numId="9">
    <w:abstractNumId w:val="7"/>
  </w:num>
  <w:num w:numId="1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12"/>
  </w:num>
  <w:num w:numId="14">
    <w:abstractNumId w:val="8"/>
  </w:num>
  <w:num w:numId="15">
    <w:abstractNumId w:val="2"/>
  </w:num>
  <w:num w:numId="16">
    <w:abstractNumId w:val="9"/>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993"/>
    <w:rsid w:val="00025D32"/>
    <w:rsid w:val="00054743"/>
    <w:rsid w:val="000E6CF8"/>
    <w:rsid w:val="00110C8D"/>
    <w:rsid w:val="0012150D"/>
    <w:rsid w:val="001324D0"/>
    <w:rsid w:val="00135EA8"/>
    <w:rsid w:val="001F08EB"/>
    <w:rsid w:val="00214EB9"/>
    <w:rsid w:val="002F0DC5"/>
    <w:rsid w:val="003052B6"/>
    <w:rsid w:val="00350A48"/>
    <w:rsid w:val="003A5D3A"/>
    <w:rsid w:val="00450D67"/>
    <w:rsid w:val="00496179"/>
    <w:rsid w:val="00570747"/>
    <w:rsid w:val="0057458F"/>
    <w:rsid w:val="0058456E"/>
    <w:rsid w:val="005B647C"/>
    <w:rsid w:val="005D5B9A"/>
    <w:rsid w:val="00643E63"/>
    <w:rsid w:val="00724B01"/>
    <w:rsid w:val="007921FA"/>
    <w:rsid w:val="007A7A74"/>
    <w:rsid w:val="007F0C46"/>
    <w:rsid w:val="0084123A"/>
    <w:rsid w:val="008E3990"/>
    <w:rsid w:val="00A729E0"/>
    <w:rsid w:val="00A75157"/>
    <w:rsid w:val="00AE1ABC"/>
    <w:rsid w:val="00B76E1F"/>
    <w:rsid w:val="00BD7C5F"/>
    <w:rsid w:val="00C14993"/>
    <w:rsid w:val="00C37961"/>
    <w:rsid w:val="00CE08D2"/>
    <w:rsid w:val="00CF345A"/>
    <w:rsid w:val="00DF5A59"/>
    <w:rsid w:val="00E41961"/>
    <w:rsid w:val="00F7196A"/>
    <w:rsid w:val="00F9647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C818FB-F4BF-40A1-87A0-D5D7801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88" w:lineRule="auto"/>
    </w:p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Cs/>
      <w:caps/>
      <w:color w:val="7A7A7A" w:themeColor="accent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7A7A7A" w:themeColor="accent1"/>
      <w:sz w:val="26"/>
      <w:szCs w:val="26"/>
    </w:rPr>
  </w:style>
  <w:style w:type="paragraph" w:styleId="Heading3">
    <w:name w:val="heading 3"/>
    <w:basedOn w:val="Normal"/>
    <w:next w:val="Normal"/>
    <w:link w:val="Heading3Char"/>
    <w:uiPriority w:val="9"/>
    <w:semiHidden/>
    <w:unhideWhenUsed/>
    <w:qFormat/>
    <w:pPr>
      <w:keepNext/>
      <w:keepLines/>
      <w:spacing w:before="60" w:after="0" w:line="240" w:lineRule="auto"/>
      <w:outlineLvl w:val="2"/>
    </w:pPr>
    <w:rPr>
      <w:rFonts w:eastAsiaTheme="majorEastAsia" w:cstheme="majorBidi"/>
      <w:b/>
      <w:bCs/>
      <w:caps/>
      <w:color w:val="D1282E" w:themeColor="text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Cs/>
      <w:i/>
      <w:iCs/>
      <w:color w:val="7A7A7A"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eastAsiaTheme="majorEastAsia" w:cstheme="majorBidi"/>
      <w:b/>
      <w:color w:val="5B5B5B" w:themeColor="accent1" w:themeShade="B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5B5B5B" w:themeColor="accent1" w:themeShade="BF"/>
    </w:rPr>
  </w:style>
  <w:style w:type="paragraph" w:styleId="Heading7">
    <w:name w:val="heading 7"/>
    <w:basedOn w:val="Normal"/>
    <w:next w:val="Normal"/>
    <w:link w:val="Heading7Char"/>
    <w:uiPriority w:val="9"/>
    <w:semiHidden/>
    <w:unhideWhenUsed/>
    <w:qFormat/>
    <w:pPr>
      <w:keepNext/>
      <w:keepLines/>
      <w:spacing w:before="200" w:after="0"/>
      <w:outlineLvl w:val="6"/>
    </w:pPr>
    <w:rPr>
      <w:rFonts w:eastAsiaTheme="majorEastAsia" w:cstheme="majorBidi"/>
      <w:b/>
      <w:iCs/>
      <w:color w:val="D1282E" w:themeColor="text2"/>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7A7A7A"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5B5B5B"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caps/>
      <w:color w:val="7A7A7A" w:themeColor="accent1"/>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7A7A7A" w:themeColor="accent1"/>
      <w:sz w:val="26"/>
      <w:szCs w:val="26"/>
    </w:rPr>
  </w:style>
  <w:style w:type="character" w:customStyle="1" w:styleId="Heading3Char">
    <w:name w:val="Heading 3 Char"/>
    <w:basedOn w:val="DefaultParagraphFont"/>
    <w:link w:val="Heading3"/>
    <w:uiPriority w:val="9"/>
    <w:semiHidden/>
    <w:rPr>
      <w:rFonts w:eastAsiaTheme="majorEastAsia" w:cstheme="majorBidi"/>
      <w:b/>
      <w:bCs/>
      <w:caps/>
      <w:color w:val="D1282E" w:themeColor="text2"/>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Cs/>
      <w:i/>
      <w:iCs/>
      <w:color w:val="7A7A7A" w:themeColor="accent1"/>
    </w:rPr>
  </w:style>
  <w:style w:type="character" w:customStyle="1" w:styleId="Heading5Char">
    <w:name w:val="Heading 5 Char"/>
    <w:basedOn w:val="DefaultParagraphFont"/>
    <w:link w:val="Heading5"/>
    <w:uiPriority w:val="9"/>
    <w:semiHidden/>
    <w:rPr>
      <w:rFonts w:eastAsiaTheme="majorEastAsia" w:cstheme="majorBidi"/>
      <w:b/>
      <w:color w:val="5B5B5B"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5B5B5B" w:themeColor="accent1" w:themeShade="BF"/>
    </w:rPr>
  </w:style>
  <w:style w:type="character" w:customStyle="1" w:styleId="Heading7Char">
    <w:name w:val="Heading 7 Char"/>
    <w:basedOn w:val="DefaultParagraphFont"/>
    <w:link w:val="Heading7"/>
    <w:uiPriority w:val="9"/>
    <w:semiHidden/>
    <w:rPr>
      <w:rFonts w:eastAsiaTheme="majorEastAsia" w:cstheme="majorBidi"/>
      <w:b/>
      <w:iCs/>
      <w:color w:val="D1282E" w:themeColor="tex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7A7A7A"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5B5B5B" w:themeColor="accent1" w:themeShade="BF"/>
      <w:sz w:val="20"/>
      <w:szCs w:val="20"/>
    </w:rPr>
  </w:style>
  <w:style w:type="paragraph" w:styleId="Caption">
    <w:name w:val="caption"/>
    <w:basedOn w:val="Normal"/>
    <w:next w:val="Normal"/>
    <w:uiPriority w:val="35"/>
    <w:unhideWhenUsed/>
    <w:qFormat/>
    <w:pPr>
      <w:spacing w:line="240" w:lineRule="auto"/>
    </w:pPr>
    <w:rPr>
      <w:bCs/>
      <w:caps/>
      <w:color w:val="7A7A7A" w:themeColor="accent1"/>
      <w:sz w:val="18"/>
      <w:szCs w:val="18"/>
    </w:rPr>
  </w:style>
  <w:style w:type="paragraph" w:styleId="Title">
    <w:name w:val="Title"/>
    <w:basedOn w:val="Normal"/>
    <w:next w:val="Normal"/>
    <w:link w:val="TitleChar"/>
    <w:uiPriority w:val="10"/>
    <w:qFormat/>
    <w:pPr>
      <w:spacing w:before="360" w:after="60" w:line="240" w:lineRule="auto"/>
      <w:contextualSpacing/>
    </w:pPr>
    <w:rPr>
      <w:rFonts w:asciiTheme="majorHAnsi" w:eastAsiaTheme="majorEastAsia" w:hAnsiTheme="majorHAnsi" w:cstheme="majorBidi"/>
      <w:caps/>
      <w:color w:val="000000" w:themeColor="text1"/>
      <w:spacing w:val="-20"/>
      <w:kern w:val="28"/>
      <w:sz w:val="7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00000" w:themeColor="text1"/>
      <w:spacing w:val="-20"/>
      <w:kern w:val="28"/>
      <w:sz w:val="7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Cs/>
      <w:caps/>
      <w:color w:val="D1282E" w:themeColor="text2"/>
      <w:sz w:val="36"/>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Cs/>
      <w:caps/>
      <w:color w:val="D1282E" w:themeColor="text2"/>
      <w:sz w:val="36"/>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pPr>
      <w:spacing w:line="360" w:lineRule="auto"/>
    </w:pPr>
    <w:rPr>
      <w:i/>
      <w:iCs/>
      <w:color w:val="7A7A7A" w:themeColor="accent1"/>
      <w:sz w:val="28"/>
    </w:rPr>
  </w:style>
  <w:style w:type="character" w:customStyle="1" w:styleId="QuoteChar">
    <w:name w:val="Quote Char"/>
    <w:basedOn w:val="DefaultParagraphFont"/>
    <w:link w:val="Quote"/>
    <w:uiPriority w:val="29"/>
    <w:rPr>
      <w:i/>
      <w:iCs/>
      <w:color w:val="7A7A7A" w:themeColor="accent1"/>
      <w:sz w:val="28"/>
    </w:rPr>
  </w:style>
  <w:style w:type="paragraph" w:styleId="IntenseQuote">
    <w:name w:val="Intense Quote"/>
    <w:basedOn w:val="Normal"/>
    <w:next w:val="Normal"/>
    <w:link w:val="IntenseQuoteChar"/>
    <w:uiPriority w:val="30"/>
    <w:qFormat/>
    <w:pPr>
      <w:pBdr>
        <w:top w:val="single" w:sz="36" w:space="5" w:color="000000" w:themeColor="text1"/>
        <w:bottom w:val="single" w:sz="18" w:space="5" w:color="D1282E" w:themeColor="text2"/>
      </w:pBdr>
      <w:spacing w:before="200" w:after="280" w:line="360" w:lineRule="auto"/>
    </w:pPr>
    <w:rPr>
      <w:b/>
      <w:bCs/>
      <w:i/>
      <w:iCs/>
      <w:color w:val="7F7F7F" w:themeColor="text1" w:themeTint="80"/>
      <w:sz w:val="26"/>
    </w:rPr>
  </w:style>
  <w:style w:type="character" w:customStyle="1" w:styleId="IntenseQuoteChar">
    <w:name w:val="Intense Quote Char"/>
    <w:basedOn w:val="DefaultParagraphFont"/>
    <w:link w:val="IntenseQuote"/>
    <w:uiPriority w:val="30"/>
    <w:rPr>
      <w:b/>
      <w:bCs/>
      <w:i/>
      <w:iCs/>
      <w:color w:val="7F7F7F" w:themeColor="text1" w:themeTint="80"/>
      <w:sz w:val="26"/>
    </w:rPr>
  </w:style>
  <w:style w:type="character" w:styleId="SubtleEmphasis">
    <w:name w:val="Subtle Emphasis"/>
    <w:basedOn w:val="DefaultParagraphFont"/>
    <w:uiPriority w:val="19"/>
    <w:qFormat/>
    <w:rPr>
      <w:i/>
      <w:iCs/>
      <w:color w:val="7A7A7A" w:themeColor="accent1"/>
    </w:rPr>
  </w:style>
  <w:style w:type="character" w:styleId="IntenseEmphasis">
    <w:name w:val="Intense Emphasis"/>
    <w:basedOn w:val="DefaultParagraphFont"/>
    <w:uiPriority w:val="21"/>
    <w:qFormat/>
    <w:rPr>
      <w:b/>
      <w:bCs/>
      <w:i/>
      <w:iCs/>
      <w:color w:val="D1282E" w:themeColor="text2"/>
    </w:rPr>
  </w:style>
  <w:style w:type="character" w:styleId="SubtleReference">
    <w:name w:val="Subtle Reference"/>
    <w:basedOn w:val="DefaultParagraphFont"/>
    <w:uiPriority w:val="31"/>
    <w:qFormat/>
    <w:rPr>
      <w:rFonts w:asciiTheme="minorHAnsi" w:hAnsiTheme="minorHAnsi"/>
      <w:smallCaps/>
      <w:color w:val="F5C201" w:themeColor="accent2"/>
      <w:sz w:val="22"/>
      <w:u w:val="none"/>
    </w:rPr>
  </w:style>
  <w:style w:type="character" w:styleId="IntenseReference">
    <w:name w:val="Intense Reference"/>
    <w:basedOn w:val="DefaultParagraphFont"/>
    <w:uiPriority w:val="32"/>
    <w:qFormat/>
    <w:rPr>
      <w:rFonts w:asciiTheme="minorHAnsi" w:hAnsiTheme="minorHAnsi"/>
      <w:b/>
      <w:bCs/>
      <w:caps/>
      <w:color w:val="F5C201" w:themeColor="accent2"/>
      <w:spacing w:val="5"/>
      <w:sz w:val="22"/>
      <w:u w:val="single"/>
    </w:rPr>
  </w:style>
  <w:style w:type="character" w:styleId="BookTitle">
    <w:name w:val="Book Title"/>
    <w:basedOn w:val="DefaultParagraphFont"/>
    <w:uiPriority w:val="33"/>
    <w:qFormat/>
    <w:rPr>
      <w:rFonts w:asciiTheme="minorHAnsi" w:hAnsiTheme="minorHAnsi"/>
      <w:b/>
      <w:bCs/>
      <w:caps/>
      <w:color w:val="3D3D3D" w:themeColor="accent1" w:themeShade="80"/>
      <w:spacing w:val="5"/>
      <w:sz w:val="22"/>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PlaceholderText">
    <w:name w:val="Placeholder Text"/>
    <w:basedOn w:val="DefaultParagraphFont"/>
    <w:uiPriority w:val="99"/>
    <w:rPr>
      <w:color w:val="808080"/>
    </w:rPr>
  </w:style>
  <w:style w:type="paragraph" w:styleId="Header">
    <w:name w:val="header"/>
    <w:basedOn w:val="Normal"/>
    <w:link w:val="HeaderChar"/>
    <w:uiPriority w:val="99"/>
    <w:unhideWhenUsed/>
    <w:pPr>
      <w:tabs>
        <w:tab w:val="center" w:pos="4680"/>
        <w:tab w:val="right" w:pos="9360"/>
      </w:tabs>
      <w:spacing w:after="0" w:line="240" w:lineRule="auto"/>
    </w:pPr>
    <w:rPr>
      <w:lang w:eastAsia="ja-JP"/>
    </w:rPr>
  </w:style>
  <w:style w:type="character" w:customStyle="1" w:styleId="HeaderChar">
    <w:name w:val="Header Char"/>
    <w:basedOn w:val="DefaultParagraphFont"/>
    <w:link w:val="Header"/>
    <w:uiPriority w:val="99"/>
    <w:rPr>
      <w:lang w:eastAsia="ja-JP"/>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aliases w:val="F1,ft"/>
    <w:basedOn w:val="Normal"/>
    <w:link w:val="FootnoteTextChar"/>
    <w:uiPriority w:val="99"/>
    <w:unhideWhenUsed/>
    <w:rsid w:val="00214EB9"/>
    <w:pPr>
      <w:spacing w:after="0" w:line="240" w:lineRule="auto"/>
      <w:jc w:val="both"/>
    </w:pPr>
    <w:rPr>
      <w:rFonts w:ascii="Arial" w:eastAsiaTheme="minorHAnsi" w:hAnsi="Arial" w:cs="Times New Roman"/>
      <w:sz w:val="20"/>
      <w:szCs w:val="20"/>
      <w:lang w:val="en-CA"/>
    </w:rPr>
  </w:style>
  <w:style w:type="character" w:customStyle="1" w:styleId="FootnoteTextChar">
    <w:name w:val="Footnote Text Char"/>
    <w:aliases w:val="F1 Char,ft Char"/>
    <w:basedOn w:val="DefaultParagraphFont"/>
    <w:link w:val="FootnoteText"/>
    <w:uiPriority w:val="99"/>
    <w:rsid w:val="00214EB9"/>
    <w:rPr>
      <w:rFonts w:ascii="Arial" w:eastAsiaTheme="minorHAnsi" w:hAnsi="Arial" w:cs="Times New Roman"/>
      <w:sz w:val="20"/>
      <w:szCs w:val="20"/>
      <w:lang w:val="en-CA"/>
    </w:rPr>
  </w:style>
  <w:style w:type="character" w:styleId="FootnoteReference">
    <w:name w:val="footnote reference"/>
    <w:basedOn w:val="DefaultParagraphFont"/>
    <w:uiPriority w:val="99"/>
    <w:unhideWhenUsed/>
    <w:rsid w:val="00214E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package" Target="embeddings/Microsoft_PowerPoint_Slide.sldx"/><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cid:image019.jpg@01D2A7CB.D598B440" TargetMode="Externa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kenney\AppData\Roaming\OpenText\OTEdit\EC_GCDOCS_NRCAN\c20540906\Report%20(Essential%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86EC641BBD4694BC899B2AC1CC63BC"/>
        <w:category>
          <w:name w:val="General"/>
          <w:gallery w:val="placeholder"/>
        </w:category>
        <w:types>
          <w:type w:val="bbPlcHdr"/>
        </w:types>
        <w:behaviors>
          <w:behavior w:val="content"/>
        </w:behaviors>
        <w:guid w:val="{3EA46ADD-6D8F-4F20-9B41-A8601DE85650}"/>
      </w:docPartPr>
      <w:docPartBody>
        <w:p w:rsidR="00B433CB" w:rsidRDefault="00503F4D">
          <w:pPr>
            <w:pStyle w:val="8686EC641BBD4694BC899B2AC1CC63BC"/>
          </w:pPr>
          <w:r>
            <w:t>[Type the document title]</w:t>
          </w:r>
        </w:p>
      </w:docPartBody>
    </w:docPart>
    <w:docPart>
      <w:docPartPr>
        <w:name w:val="1AD0532262EF440AAC86395B8459A056"/>
        <w:category>
          <w:name w:val="General"/>
          <w:gallery w:val="placeholder"/>
        </w:category>
        <w:types>
          <w:type w:val="bbPlcHdr"/>
        </w:types>
        <w:behaviors>
          <w:behavior w:val="content"/>
        </w:behaviors>
        <w:guid w:val="{E8A001EA-6603-478B-8B50-C3D248AA44D9}"/>
      </w:docPartPr>
      <w:docPartBody>
        <w:p w:rsidR="00B433CB" w:rsidRDefault="00503F4D">
          <w:pPr>
            <w:pStyle w:val="1AD0532262EF440AAC86395B8459A056"/>
          </w:pPr>
          <w: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Dotum">
    <w:altName w:val="돋움"/>
    <w:panose1 w:val="020B0600000101010101"/>
    <w:charset w:val="81"/>
    <w:family w:val="swiss"/>
    <w:pitch w:val="variable"/>
    <w:sig w:usb0="00000000"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HYGothic-Extra">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Oswald">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F4D"/>
    <w:rsid w:val="000A6484"/>
    <w:rsid w:val="00503F4D"/>
    <w:rsid w:val="00731DBA"/>
    <w:rsid w:val="00B0667D"/>
    <w:rsid w:val="00B433CB"/>
    <w:rsid w:val="00D711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line="288" w:lineRule="auto"/>
      <w:outlineLvl w:val="0"/>
    </w:pPr>
    <w:rPr>
      <w:rFonts w:asciiTheme="majorHAnsi" w:eastAsiaTheme="majorEastAsia" w:hAnsiTheme="majorHAnsi" w:cstheme="majorBidi"/>
      <w:bCs/>
      <w:caps/>
      <w:color w:val="5B9BD5" w:themeColor="accent1"/>
      <w:sz w:val="28"/>
      <w:szCs w:val="28"/>
      <w:lang w:val="en-US" w:eastAsia="ja-JP"/>
    </w:rPr>
  </w:style>
  <w:style w:type="paragraph" w:styleId="Heading2">
    <w:name w:val="heading 2"/>
    <w:basedOn w:val="Normal"/>
    <w:next w:val="Normal"/>
    <w:link w:val="Heading2Char"/>
    <w:uiPriority w:val="9"/>
    <w:unhideWhenUsed/>
    <w:qFormat/>
    <w:pPr>
      <w:keepNext/>
      <w:keepLines/>
      <w:spacing w:before="200" w:after="0" w:line="288" w:lineRule="auto"/>
      <w:outlineLvl w:val="1"/>
    </w:pPr>
    <w:rPr>
      <w:rFonts w:asciiTheme="majorHAnsi" w:eastAsiaTheme="majorEastAsia" w:hAnsiTheme="majorHAnsi" w:cstheme="majorBidi"/>
      <w:b/>
      <w:bCs/>
      <w:color w:val="5B9BD5" w:themeColor="accent1"/>
      <w:sz w:val="26"/>
      <w:szCs w:val="26"/>
      <w:lang w:val="en-US" w:eastAsia="en-US"/>
    </w:rPr>
  </w:style>
  <w:style w:type="paragraph" w:styleId="Heading3">
    <w:name w:val="heading 3"/>
    <w:basedOn w:val="Normal"/>
    <w:next w:val="Normal"/>
    <w:link w:val="Heading3Char"/>
    <w:uiPriority w:val="9"/>
    <w:unhideWhenUsed/>
    <w:qFormat/>
    <w:pPr>
      <w:keepNext/>
      <w:keepLines/>
      <w:spacing w:before="60" w:after="0" w:line="240" w:lineRule="auto"/>
      <w:outlineLvl w:val="2"/>
    </w:pPr>
    <w:rPr>
      <w:rFonts w:eastAsiaTheme="majorEastAsia" w:cstheme="majorBidi"/>
      <w:b/>
      <w:bCs/>
      <w:caps/>
      <w:color w:val="44546A" w:themeColor="text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86EC641BBD4694BC899B2AC1CC63BC">
    <w:name w:val="8686EC641BBD4694BC899B2AC1CC63BC"/>
  </w:style>
  <w:style w:type="paragraph" w:customStyle="1" w:styleId="1AD0532262EF440AAC86395B8459A056">
    <w:name w:val="1AD0532262EF440AAC86395B8459A056"/>
  </w:style>
  <w:style w:type="character" w:customStyle="1" w:styleId="Heading1Char">
    <w:name w:val="Heading 1 Char"/>
    <w:basedOn w:val="DefaultParagraphFont"/>
    <w:link w:val="Heading1"/>
    <w:uiPriority w:val="9"/>
    <w:rPr>
      <w:rFonts w:asciiTheme="majorHAnsi" w:eastAsiaTheme="majorEastAsia" w:hAnsiTheme="majorHAnsi" w:cstheme="majorBidi"/>
      <w:bCs/>
      <w:caps/>
      <w:color w:val="5B9BD5" w:themeColor="accent1"/>
      <w:sz w:val="28"/>
      <w:szCs w:val="28"/>
      <w:lang w:val="en-US" w:eastAsia="ja-JP"/>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5B9BD5" w:themeColor="accent1"/>
      <w:sz w:val="26"/>
      <w:szCs w:val="26"/>
      <w:lang w:val="en-US" w:eastAsia="en-US"/>
    </w:rPr>
  </w:style>
  <w:style w:type="character" w:customStyle="1" w:styleId="Heading3Char">
    <w:name w:val="Heading 3 Char"/>
    <w:basedOn w:val="DefaultParagraphFont"/>
    <w:link w:val="Heading3"/>
    <w:uiPriority w:val="9"/>
    <w:rPr>
      <w:rFonts w:eastAsiaTheme="majorEastAsia" w:cstheme="majorBidi"/>
      <w:b/>
      <w:bCs/>
      <w:caps/>
      <w:color w:val="44546A" w:themeColor="text2"/>
      <w:lang w:val="en-US" w:eastAsia="en-US"/>
    </w:rPr>
  </w:style>
  <w:style w:type="paragraph" w:customStyle="1" w:styleId="63CF5F511CF74F74BCBB293800CEA3D4">
    <w:name w:val="63CF5F511CF74F74BCBB293800CEA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Essential">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3B691ED-4113-4777-AE43-E94461A603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(Essential design).dotx</Template>
  <TotalTime>1</TotalTime>
  <Pages>24</Pages>
  <Words>7625</Words>
  <Characters>43464</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SOCIAL INNOVATION FOR ENERGY EFFICIENCY &amp;  LOW CARBON TRANSITIONS</vt:lpstr>
    </vt:vector>
  </TitlesOfParts>
  <Company/>
  <LinksUpToDate>false</LinksUpToDate>
  <CharactersWithSpaces>50988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INNOVATION FOR ENERGY EFFICIENCY &amp;  LOW CARBON TRANSITIONS</dc:title>
  <dc:subject>EVALUATION APPROACH</dc:subject>
  <dc:creator>john kenney</dc:creator>
  <cp:keywords/>
  <cp:lastModifiedBy>Kenney, John</cp:lastModifiedBy>
  <cp:revision>2</cp:revision>
  <dcterms:created xsi:type="dcterms:W3CDTF">2018-09-10T13:01:00Z</dcterms:created>
  <dcterms:modified xsi:type="dcterms:W3CDTF">2018-09-10T13:01:00Z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TC018408409991</vt:lpwstr>
  </property>
</Properties>
</file>